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A" w:rsidRPr="005305D0" w:rsidRDefault="007F44EA" w:rsidP="00D6660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22"/>
          <w:szCs w:val="22"/>
          <w:u w:val="single"/>
        </w:rPr>
        <w:t xml:space="preserve">Clinical Support </w:t>
      </w:r>
      <w:r w:rsidRPr="005305D0">
        <w:rPr>
          <w:rFonts w:ascii="Century Gothic" w:hAnsi="Century Gothic"/>
          <w:b/>
          <w:sz w:val="22"/>
          <w:szCs w:val="22"/>
          <w:u w:val="single"/>
        </w:rPr>
        <w:t>Group - Secondary Care</w:t>
      </w:r>
    </w:p>
    <w:p w:rsidR="007F44EA" w:rsidRPr="005305D0" w:rsidRDefault="007F44EA" w:rsidP="00D6660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7F44EA" w:rsidRPr="005305D0" w:rsidRDefault="007F44EA" w:rsidP="00D6660C">
      <w:pPr>
        <w:rPr>
          <w:rFonts w:ascii="Century Gothic" w:hAnsi="Century Gothic"/>
          <w:b/>
          <w:sz w:val="22"/>
          <w:szCs w:val="22"/>
          <w:u w:val="single"/>
        </w:rPr>
      </w:pPr>
      <w:r w:rsidRPr="005305D0">
        <w:rPr>
          <w:rFonts w:ascii="Century Gothic" w:hAnsi="Century Gothic"/>
          <w:b/>
          <w:sz w:val="22"/>
          <w:szCs w:val="22"/>
          <w:u w:val="single"/>
        </w:rPr>
        <w:t>Introduction</w:t>
      </w:r>
    </w:p>
    <w:p w:rsidR="007F44EA" w:rsidRPr="005305D0" w:rsidRDefault="007F44EA" w:rsidP="00D6660C">
      <w:pPr>
        <w:rPr>
          <w:rFonts w:ascii="Century Gothic" w:hAnsi="Century Gothic"/>
          <w:b/>
          <w:sz w:val="22"/>
          <w:szCs w:val="22"/>
          <w:u w:val="single"/>
        </w:rPr>
      </w:pPr>
    </w:p>
    <w:p w:rsidR="007F44EA" w:rsidRDefault="007F44EA" w:rsidP="00D6660C">
      <w:p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The agreed NHSGGC remediation policy and associated flow chart, indicates that one potential mechanism of support for medical staff requiring it, would be a clinical support group (CSG), which mirrors the same type of support for GPs in primary care. This paper describes what a secondary care group might look like and how it might operate.</w:t>
      </w:r>
    </w:p>
    <w:p w:rsidR="007F44EA" w:rsidRDefault="007F44EA" w:rsidP="00D6660C">
      <w:pPr>
        <w:rPr>
          <w:rFonts w:ascii="Century Gothic" w:hAnsi="Century Gothic"/>
          <w:sz w:val="22"/>
          <w:szCs w:val="22"/>
        </w:rPr>
      </w:pPr>
    </w:p>
    <w:p w:rsidR="007F44EA" w:rsidRPr="00212270" w:rsidRDefault="007F44EA" w:rsidP="00212270">
      <w:pPr>
        <w:rPr>
          <w:rFonts w:ascii="Century Gothic" w:hAnsi="Century Gothic"/>
          <w:sz w:val="22"/>
          <w:szCs w:val="22"/>
        </w:rPr>
      </w:pPr>
      <w:r w:rsidRPr="00212270">
        <w:rPr>
          <w:rFonts w:ascii="Century Gothic" w:hAnsi="Century Gothic"/>
          <w:sz w:val="22"/>
          <w:szCs w:val="22"/>
        </w:rPr>
        <w:t>These arrangements also apply to Dentists employed under the relevant Terms and Conditions of service.</w:t>
      </w:r>
    </w:p>
    <w:p w:rsidR="007F44EA" w:rsidRPr="005305D0" w:rsidRDefault="007F44EA" w:rsidP="00D6660C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D6660C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D6660C">
      <w:pPr>
        <w:rPr>
          <w:rFonts w:ascii="Century Gothic" w:hAnsi="Century Gothic"/>
          <w:b/>
          <w:sz w:val="22"/>
          <w:szCs w:val="22"/>
          <w:u w:val="single"/>
        </w:rPr>
      </w:pPr>
      <w:r w:rsidRPr="005305D0">
        <w:rPr>
          <w:rFonts w:ascii="Century Gothic" w:hAnsi="Century Gothic"/>
          <w:sz w:val="22"/>
          <w:szCs w:val="22"/>
        </w:rPr>
        <w:t xml:space="preserve"> </w:t>
      </w:r>
      <w:r w:rsidRPr="005305D0">
        <w:rPr>
          <w:rFonts w:ascii="Century Gothic" w:hAnsi="Century Gothic"/>
          <w:b/>
          <w:sz w:val="22"/>
          <w:szCs w:val="22"/>
          <w:u w:val="single"/>
        </w:rPr>
        <w:t>Membership</w:t>
      </w:r>
    </w:p>
    <w:p w:rsidR="007F44EA" w:rsidRPr="005305D0" w:rsidRDefault="007F44EA" w:rsidP="00265515">
      <w:pPr>
        <w:rPr>
          <w:rFonts w:ascii="Century Gothic" w:hAnsi="Century Gothic"/>
          <w:b/>
          <w:sz w:val="22"/>
          <w:szCs w:val="22"/>
          <w:u w:val="single"/>
        </w:rPr>
      </w:pPr>
    </w:p>
    <w:p w:rsidR="007F44EA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Senior Doctor (Possibly </w:t>
      </w:r>
      <w:proofErr w:type="spellStart"/>
      <w:r w:rsidR="008912AF">
        <w:rPr>
          <w:rFonts w:ascii="Century Gothic" w:hAnsi="Century Gothic"/>
          <w:sz w:val="22"/>
          <w:szCs w:val="22"/>
        </w:rPr>
        <w:t>CoM</w:t>
      </w:r>
      <w:proofErr w:type="spellEnd"/>
      <w:r>
        <w:rPr>
          <w:rFonts w:ascii="Century Gothic" w:hAnsi="Century Gothic"/>
          <w:sz w:val="22"/>
          <w:szCs w:val="22"/>
        </w:rPr>
        <w:t>)</w:t>
      </w:r>
      <w:r w:rsidRPr="005305D0">
        <w:rPr>
          <w:rFonts w:ascii="Century Gothic" w:hAnsi="Century Gothic"/>
          <w:sz w:val="22"/>
          <w:szCs w:val="22"/>
        </w:rPr>
        <w:t>.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Academic Representative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Senior OD for accessing soft skill courses.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Senior L&amp;E with experience in dealin</w:t>
      </w:r>
      <w:r>
        <w:rPr>
          <w:rFonts w:ascii="Century Gothic" w:hAnsi="Century Gothic"/>
          <w:sz w:val="22"/>
          <w:szCs w:val="22"/>
        </w:rPr>
        <w:t xml:space="preserve">g with group dynamics/conflicts </w:t>
      </w:r>
      <w:r w:rsidRPr="005305D0">
        <w:rPr>
          <w:rFonts w:ascii="Century Gothic" w:hAnsi="Century Gothic"/>
          <w:sz w:val="22"/>
          <w:szCs w:val="22"/>
        </w:rPr>
        <w:t>and mediation.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Psychiatry or Psychology input (with possible OH experience).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OH practitioner.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 xml:space="preserve">Deputy DME. </w:t>
      </w:r>
      <w:r>
        <w:rPr>
          <w:rFonts w:ascii="Century Gothic" w:hAnsi="Century Gothic"/>
          <w:sz w:val="22"/>
          <w:szCs w:val="22"/>
        </w:rPr>
        <w:t>(and Chair of Group)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Medical Staffing Officer</w:t>
      </w:r>
    </w:p>
    <w:p w:rsidR="007F44EA" w:rsidRPr="005305D0" w:rsidRDefault="007F44EA" w:rsidP="00740D0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LNC Rep.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b/>
          <w:sz w:val="22"/>
          <w:szCs w:val="22"/>
          <w:u w:val="single"/>
        </w:rPr>
      </w:pPr>
      <w:r w:rsidRPr="005305D0">
        <w:rPr>
          <w:rFonts w:ascii="Century Gothic" w:hAnsi="Century Gothic"/>
          <w:b/>
          <w:sz w:val="22"/>
          <w:szCs w:val="22"/>
          <w:u w:val="single"/>
        </w:rPr>
        <w:t>Referrals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 xml:space="preserve">In most cases referrals will come from the relevant </w:t>
      </w:r>
      <w:proofErr w:type="spellStart"/>
      <w:r w:rsidR="008912AF">
        <w:rPr>
          <w:rFonts w:ascii="Century Gothic" w:hAnsi="Century Gothic"/>
          <w:sz w:val="22"/>
          <w:szCs w:val="22"/>
        </w:rPr>
        <w:t>CoM</w:t>
      </w:r>
      <w:proofErr w:type="spellEnd"/>
      <w:r w:rsidRPr="005305D0">
        <w:rPr>
          <w:rFonts w:ascii="Century Gothic" w:hAnsi="Century Gothic"/>
          <w:sz w:val="22"/>
          <w:szCs w:val="22"/>
        </w:rPr>
        <w:t>, who will have assessed the individual’s suitability to be sent to the CSG</w:t>
      </w:r>
      <w:r>
        <w:rPr>
          <w:rFonts w:ascii="Century Gothic" w:hAnsi="Century Gothic"/>
          <w:sz w:val="22"/>
          <w:szCs w:val="22"/>
        </w:rPr>
        <w:t xml:space="preserve"> and discussed this with the individual concerned. This may be </w:t>
      </w:r>
      <w:r w:rsidRPr="005305D0">
        <w:rPr>
          <w:rFonts w:ascii="Century Gothic" w:hAnsi="Century Gothic"/>
          <w:sz w:val="22"/>
          <w:szCs w:val="22"/>
        </w:rPr>
        <w:t>based on the outcome from a PE, instructed under the extant policies</w:t>
      </w:r>
      <w:r>
        <w:rPr>
          <w:rFonts w:ascii="Century Gothic" w:hAnsi="Century Gothic"/>
          <w:sz w:val="22"/>
          <w:szCs w:val="22"/>
        </w:rPr>
        <w:t>, the result of a return to work interview following absence from work or recommended from appraisal processes. Individuals may, on occasion self-refer or be referred directly from Occupational Health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 xml:space="preserve">On occasion </w:t>
      </w:r>
      <w:r w:rsidR="008912AF">
        <w:rPr>
          <w:rFonts w:ascii="Century Gothic" w:hAnsi="Century Gothic"/>
          <w:sz w:val="22"/>
          <w:szCs w:val="22"/>
        </w:rPr>
        <w:t xml:space="preserve">a </w:t>
      </w:r>
      <w:proofErr w:type="spellStart"/>
      <w:r w:rsidR="008E32FE">
        <w:rPr>
          <w:rFonts w:ascii="Century Gothic" w:hAnsi="Century Gothic"/>
          <w:sz w:val="22"/>
          <w:szCs w:val="22"/>
        </w:rPr>
        <w:t>CoM</w:t>
      </w:r>
      <w:proofErr w:type="spellEnd"/>
      <w:r w:rsidRPr="005305D0">
        <w:rPr>
          <w:rFonts w:ascii="Century Gothic" w:hAnsi="Century Gothic"/>
          <w:sz w:val="22"/>
          <w:szCs w:val="22"/>
        </w:rPr>
        <w:t xml:space="preserve"> may decide to refer to the CSG, without any formal process having already been started, if it is felt it would benefit the individual practitioner</w:t>
      </w:r>
      <w:r>
        <w:rPr>
          <w:rFonts w:ascii="Century Gothic" w:hAnsi="Century Gothic"/>
          <w:sz w:val="22"/>
          <w:szCs w:val="22"/>
        </w:rPr>
        <w:t xml:space="preserve"> and the practitioner agrees to such </w:t>
      </w:r>
      <w:proofErr w:type="gramStart"/>
      <w:r>
        <w:rPr>
          <w:rFonts w:ascii="Century Gothic" w:hAnsi="Century Gothic"/>
          <w:sz w:val="22"/>
          <w:szCs w:val="22"/>
        </w:rPr>
        <w:t>a  referral</w:t>
      </w:r>
      <w:proofErr w:type="gramEnd"/>
      <w:r w:rsidRPr="005305D0">
        <w:rPr>
          <w:rFonts w:ascii="Century Gothic" w:hAnsi="Century Gothic"/>
          <w:sz w:val="22"/>
          <w:szCs w:val="22"/>
        </w:rPr>
        <w:t>. Typically, cases such as these, would involve low level concerns about conduct/competence, not enough to trigger formal action, but having continued for a period of time, where other intervention had gained no improvement.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Default="007F44EA" w:rsidP="00265515">
      <w:p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 xml:space="preserve">Rarely a referral could come direct from an OH practitioner, but in most cases it would be hoped the OH practitioner would seek </w:t>
      </w:r>
      <w:r>
        <w:rPr>
          <w:rFonts w:ascii="Century Gothic" w:hAnsi="Century Gothic"/>
          <w:sz w:val="22"/>
          <w:szCs w:val="22"/>
        </w:rPr>
        <w:t>the advice</w:t>
      </w:r>
      <w:r w:rsidRPr="005305D0">
        <w:rPr>
          <w:rFonts w:ascii="Century Gothic" w:hAnsi="Century Gothic"/>
          <w:sz w:val="22"/>
          <w:szCs w:val="22"/>
        </w:rPr>
        <w:t xml:space="preserve"> of the relevant </w:t>
      </w:r>
      <w:proofErr w:type="spellStart"/>
      <w:r w:rsidR="008E32FE">
        <w:rPr>
          <w:rFonts w:ascii="Century Gothic" w:hAnsi="Century Gothic"/>
          <w:sz w:val="22"/>
          <w:szCs w:val="22"/>
        </w:rPr>
        <w:t>CoM</w:t>
      </w:r>
      <w:proofErr w:type="spellEnd"/>
      <w:r w:rsidR="008E32F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(whilst maintaining confidentiality)</w:t>
      </w:r>
      <w:r w:rsidRPr="005305D0">
        <w:rPr>
          <w:rFonts w:ascii="Century Gothic" w:hAnsi="Century Gothic"/>
          <w:sz w:val="22"/>
          <w:szCs w:val="22"/>
        </w:rPr>
        <w:t xml:space="preserve"> before proceeding or</w:t>
      </w:r>
      <w:r>
        <w:rPr>
          <w:rFonts w:ascii="Century Gothic" w:hAnsi="Century Gothic"/>
          <w:sz w:val="22"/>
          <w:szCs w:val="22"/>
        </w:rPr>
        <w:t xml:space="preserve"> have</w:t>
      </w:r>
      <w:r w:rsidRPr="005305D0">
        <w:rPr>
          <w:rFonts w:ascii="Century Gothic" w:hAnsi="Century Gothic"/>
          <w:sz w:val="22"/>
          <w:szCs w:val="22"/>
        </w:rPr>
        <w:t xml:space="preserve"> sought expert medical staffing advice.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b/>
          <w:sz w:val="22"/>
          <w:szCs w:val="22"/>
          <w:u w:val="single"/>
        </w:rPr>
      </w:pPr>
      <w:r w:rsidRPr="005305D0">
        <w:rPr>
          <w:rFonts w:ascii="Century Gothic" w:hAnsi="Century Gothic"/>
          <w:b/>
          <w:sz w:val="22"/>
          <w:szCs w:val="22"/>
          <w:u w:val="single"/>
        </w:rPr>
        <w:lastRenderedPageBreak/>
        <w:t>Process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8E32FE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CoM</w:t>
      </w:r>
      <w:proofErr w:type="spellEnd"/>
      <w:r w:rsidRPr="005305D0">
        <w:rPr>
          <w:rFonts w:ascii="Century Gothic" w:hAnsi="Century Gothic"/>
          <w:sz w:val="22"/>
          <w:szCs w:val="22"/>
        </w:rPr>
        <w:t xml:space="preserve"> </w:t>
      </w:r>
      <w:r w:rsidR="007F44EA" w:rsidRPr="005305D0">
        <w:rPr>
          <w:rFonts w:ascii="Century Gothic" w:hAnsi="Century Gothic"/>
          <w:sz w:val="22"/>
          <w:szCs w:val="22"/>
        </w:rPr>
        <w:t>would advise practitioner that it was felt a referral to the CSG was appropriate.</w:t>
      </w:r>
    </w:p>
    <w:p w:rsidR="007F44EA" w:rsidRPr="005305D0" w:rsidRDefault="008E32FE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CoM</w:t>
      </w:r>
      <w:proofErr w:type="spellEnd"/>
      <w:r w:rsidRPr="005305D0">
        <w:rPr>
          <w:rFonts w:ascii="Century Gothic" w:hAnsi="Century Gothic"/>
          <w:sz w:val="22"/>
          <w:szCs w:val="22"/>
        </w:rPr>
        <w:t xml:space="preserve"> </w:t>
      </w:r>
      <w:r w:rsidR="007F44EA" w:rsidRPr="005305D0">
        <w:rPr>
          <w:rFonts w:ascii="Century Gothic" w:hAnsi="Century Gothic"/>
          <w:sz w:val="22"/>
          <w:szCs w:val="22"/>
        </w:rPr>
        <w:t>would meet with practitioner (and representative if wished) to discuss.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No referral to the CSG can take place without the Doctor/Dentist being in agreement.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Expected o</w:t>
      </w:r>
      <w:r w:rsidRPr="005305D0">
        <w:rPr>
          <w:rFonts w:ascii="Century Gothic" w:hAnsi="Century Gothic"/>
          <w:sz w:val="22"/>
          <w:szCs w:val="22"/>
        </w:rPr>
        <w:t xml:space="preserve">utcomes from a CSG referral </w:t>
      </w:r>
      <w:r>
        <w:rPr>
          <w:rFonts w:ascii="Century Gothic" w:hAnsi="Century Gothic"/>
          <w:sz w:val="22"/>
          <w:szCs w:val="22"/>
        </w:rPr>
        <w:t xml:space="preserve">would normally be </w:t>
      </w:r>
      <w:r w:rsidRPr="005305D0">
        <w:rPr>
          <w:rFonts w:ascii="Century Gothic" w:hAnsi="Century Gothic"/>
          <w:sz w:val="22"/>
          <w:szCs w:val="22"/>
        </w:rPr>
        <w:t xml:space="preserve">agreed by both </w:t>
      </w:r>
      <w:proofErr w:type="spellStart"/>
      <w:r w:rsidR="008E32FE">
        <w:rPr>
          <w:rFonts w:ascii="Century Gothic" w:hAnsi="Century Gothic"/>
          <w:sz w:val="22"/>
          <w:szCs w:val="22"/>
        </w:rPr>
        <w:t>CoM</w:t>
      </w:r>
      <w:proofErr w:type="spellEnd"/>
      <w:r w:rsidR="008E32FE" w:rsidRPr="005305D0">
        <w:rPr>
          <w:rFonts w:ascii="Century Gothic" w:hAnsi="Century Gothic"/>
          <w:sz w:val="22"/>
          <w:szCs w:val="22"/>
        </w:rPr>
        <w:t xml:space="preserve"> </w:t>
      </w:r>
      <w:r w:rsidRPr="005305D0">
        <w:rPr>
          <w:rFonts w:ascii="Century Gothic" w:hAnsi="Century Gothic"/>
          <w:sz w:val="22"/>
          <w:szCs w:val="22"/>
        </w:rPr>
        <w:t>and Practitioner</w:t>
      </w:r>
      <w:r>
        <w:rPr>
          <w:rFonts w:ascii="Century Gothic" w:hAnsi="Century Gothic"/>
          <w:sz w:val="22"/>
          <w:szCs w:val="22"/>
        </w:rPr>
        <w:t xml:space="preserve"> or by the referring OH Physician and the Practitioner</w:t>
      </w:r>
      <w:r w:rsidRPr="005305D0">
        <w:rPr>
          <w:rFonts w:ascii="Century Gothic" w:hAnsi="Century Gothic"/>
          <w:sz w:val="22"/>
          <w:szCs w:val="22"/>
        </w:rPr>
        <w:t>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Those outcomes and the agreement to be referred to the CSG will be recorded in a signed document, signed by both parties and held in the personal file.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The Doctor/Dentist needs to be aware, particularly where referral to the CSG is in place of formal action, that a failure to cooperate with anything the CSG decides on or to fully participate in the process will result in the individual being subjected to the NHS GGC disciplinary process.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It is expected the individual will appear in person at the CSG if required and the attendance of his representative will be facilitated if the practitioner requires it.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No formal timescale will be imposed on the CSG in terms of how long a practitioner will be kept under review. This will be decided by mutual agreement between the CSG and the practitioner.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>Any dispute about the above will be decided by the Chair of CSG, whose decision in the matter is final.</w:t>
      </w:r>
    </w:p>
    <w:p w:rsidR="007F44EA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305D0">
        <w:rPr>
          <w:rFonts w:ascii="Century Gothic" w:hAnsi="Century Gothic"/>
          <w:sz w:val="22"/>
          <w:szCs w:val="22"/>
        </w:rPr>
        <w:t xml:space="preserve">Practitioners will be expected to mention as part of their appraisal process that they are involved in a CSG referral. </w:t>
      </w:r>
    </w:p>
    <w:p w:rsidR="007F44EA" w:rsidRPr="005305D0" w:rsidRDefault="007F44EA" w:rsidP="0099612C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Chair will be responsible for providing written feedback to the referring </w:t>
      </w:r>
      <w:proofErr w:type="spellStart"/>
      <w:r w:rsidR="008E32FE">
        <w:rPr>
          <w:rFonts w:ascii="Century Gothic" w:hAnsi="Century Gothic"/>
          <w:sz w:val="22"/>
          <w:szCs w:val="22"/>
        </w:rPr>
        <w:t>CoM</w:t>
      </w:r>
      <w:proofErr w:type="spellEnd"/>
      <w:r w:rsidR="008E32F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or OH practitioner, which will be held in the personal file.</w:t>
      </w: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 w:rsidP="00265515">
      <w:pPr>
        <w:rPr>
          <w:rFonts w:ascii="Century Gothic" w:hAnsi="Century Gothic"/>
          <w:sz w:val="22"/>
          <w:szCs w:val="22"/>
        </w:rPr>
      </w:pPr>
    </w:p>
    <w:p w:rsidR="007F44EA" w:rsidRPr="005305D0" w:rsidRDefault="007F44EA">
      <w:pPr>
        <w:rPr>
          <w:rFonts w:ascii="Century Gothic" w:hAnsi="Century Gothic"/>
          <w:b/>
          <w:sz w:val="22"/>
          <w:szCs w:val="22"/>
          <w:u w:val="single"/>
        </w:rPr>
      </w:pPr>
    </w:p>
    <w:sectPr w:rsidR="007F44EA" w:rsidRPr="005305D0" w:rsidSect="00F83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F5C76"/>
    <w:multiLevelType w:val="hybridMultilevel"/>
    <w:tmpl w:val="DC08A9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13529A"/>
    <w:multiLevelType w:val="hybridMultilevel"/>
    <w:tmpl w:val="6876E0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C"/>
    <w:rsid w:val="00024D92"/>
    <w:rsid w:val="00114862"/>
    <w:rsid w:val="00161AA9"/>
    <w:rsid w:val="00176EB1"/>
    <w:rsid w:val="001878FF"/>
    <w:rsid w:val="00212270"/>
    <w:rsid w:val="00265515"/>
    <w:rsid w:val="00266805"/>
    <w:rsid w:val="00277964"/>
    <w:rsid w:val="002D3D39"/>
    <w:rsid w:val="003B6E62"/>
    <w:rsid w:val="003D2643"/>
    <w:rsid w:val="00526FBC"/>
    <w:rsid w:val="005305D0"/>
    <w:rsid w:val="006D3B07"/>
    <w:rsid w:val="00740D0C"/>
    <w:rsid w:val="00755489"/>
    <w:rsid w:val="00756E05"/>
    <w:rsid w:val="007F44EA"/>
    <w:rsid w:val="008912AF"/>
    <w:rsid w:val="008E32FE"/>
    <w:rsid w:val="008E4506"/>
    <w:rsid w:val="0099612C"/>
    <w:rsid w:val="009E0EAC"/>
    <w:rsid w:val="00BF29C1"/>
    <w:rsid w:val="00C01248"/>
    <w:rsid w:val="00CC1FCF"/>
    <w:rsid w:val="00D6660C"/>
    <w:rsid w:val="00D95419"/>
    <w:rsid w:val="00E278B0"/>
    <w:rsid w:val="00E35A3D"/>
    <w:rsid w:val="00E451D2"/>
    <w:rsid w:val="00EB0128"/>
    <w:rsid w:val="00EB4D79"/>
    <w:rsid w:val="00F12B3E"/>
    <w:rsid w:val="00F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29B80E-CDA2-4CDC-ACAE-AD2188E9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2122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227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12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1227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212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006DAD604CA1BBE8E6B01037850E" ma:contentTypeVersion="2" ma:contentTypeDescription="Create a new document." ma:contentTypeScope="" ma:versionID="fa8edbe1b19ce8998a5c6f303a7d54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6EF82-1CF4-4F4B-81E3-233E3B06F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765BF7-41D3-4537-8510-BD6ADAE202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Support Group - Secondary Care</vt:lpstr>
    </vt:vector>
  </TitlesOfParts>
  <Company>NHSGGC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Support Group - Secondary Care</dc:title>
  <dc:creator>raymond rose</dc:creator>
  <cp:lastModifiedBy>Angela Cooper</cp:lastModifiedBy>
  <cp:revision>2</cp:revision>
  <dcterms:created xsi:type="dcterms:W3CDTF">2020-12-23T15:09:00Z</dcterms:created>
  <dcterms:modified xsi:type="dcterms:W3CDTF">2020-12-23T15:09:00Z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0x010100C2E2006DAD604CA1BBE8E6B01037850E</vt:lpwstr>
  </property>
</Properties>
</file>