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DE" w:rsidRPr="00125A03" w:rsidRDefault="007E4EDE" w:rsidP="007E4EDE">
      <w:pPr>
        <w:pStyle w:val="CM13"/>
        <w:spacing w:line="360" w:lineRule="auto"/>
        <w:rPr>
          <w:b/>
          <w:bCs/>
          <w:color w:val="000000"/>
        </w:rPr>
      </w:pPr>
      <w:bookmarkStart w:id="0" w:name="_GoBack"/>
      <w:bookmarkEnd w:id="0"/>
      <w:r w:rsidRPr="00125A03">
        <w:rPr>
          <w:b/>
          <w:bCs/>
        </w:rPr>
        <w:t>Managing an employee who is absent due to an MSD</w:t>
      </w:r>
    </w:p>
    <w:p w:rsidR="007E4EDE" w:rsidRDefault="007E4EDE" w:rsidP="007E4EDE">
      <w:pPr>
        <w:pStyle w:val="Default"/>
        <w:jc w:val="both"/>
      </w:pPr>
      <w:r>
        <w:t xml:space="preserve">The following flow chart details guidance for managers being contacted by an employee due to an absence related to musculoskeletal injury </w:t>
      </w:r>
      <w:r w:rsidRPr="005043FF">
        <w:rPr>
          <w:b/>
          <w:bCs/>
        </w:rPr>
        <w:t>whether work or non work related</w:t>
      </w:r>
      <w:r>
        <w:t>.</w:t>
      </w:r>
    </w:p>
    <w:p w:rsidR="007E4EDE" w:rsidRDefault="007E4EDE" w:rsidP="007E4EDE">
      <w:pPr>
        <w:pStyle w:val="Default"/>
        <w:jc w:val="both"/>
      </w:pPr>
    </w:p>
    <w:tbl>
      <w:tblPr>
        <w:tblStyle w:val="TableGrid"/>
        <w:tblW w:w="9889" w:type="dxa"/>
        <w:tblLayout w:type="fixed"/>
        <w:tblLook w:val="01E0" w:firstRow="1" w:lastRow="1" w:firstColumn="1" w:lastColumn="1" w:noHBand="0" w:noVBand="0"/>
      </w:tblPr>
      <w:tblGrid>
        <w:gridCol w:w="2092"/>
        <w:gridCol w:w="283"/>
        <w:gridCol w:w="1842"/>
        <w:gridCol w:w="284"/>
        <w:gridCol w:w="426"/>
        <w:gridCol w:w="2268"/>
        <w:gridCol w:w="425"/>
        <w:gridCol w:w="2269"/>
      </w:tblGrid>
      <w:tr w:rsidR="007E4EDE">
        <w:trPr>
          <w:gridBefore w:val="1"/>
          <w:gridAfter w:val="1"/>
          <w:wBefore w:w="2093" w:type="dxa"/>
          <w:wAfter w:w="2268" w:type="dxa"/>
        </w:trPr>
        <w:tc>
          <w:tcPr>
            <w:tcW w:w="5528" w:type="dxa"/>
            <w:gridSpan w:val="6"/>
            <w:tcBorders>
              <w:top w:val="single" w:sz="18" w:space="0" w:color="auto"/>
              <w:left w:val="single" w:sz="18" w:space="0" w:color="auto"/>
              <w:bottom w:val="single" w:sz="18" w:space="0" w:color="auto"/>
              <w:right w:val="single" w:sz="18" w:space="0" w:color="auto"/>
            </w:tcBorders>
          </w:tcPr>
          <w:p w:rsidR="007E4EDE" w:rsidRPr="009B76E6" w:rsidRDefault="007E4EDE" w:rsidP="00167F2C">
            <w:pPr>
              <w:jc w:val="center"/>
              <w:rPr>
                <w:rFonts w:ascii="Arial" w:hAnsi="Arial" w:cs="Arial"/>
                <w:b/>
                <w:bCs/>
                <w:szCs w:val="28"/>
              </w:rPr>
            </w:pPr>
            <w:r w:rsidRPr="009B76E6">
              <w:rPr>
                <w:rFonts w:ascii="Arial" w:hAnsi="Arial" w:cs="Arial"/>
                <w:b/>
                <w:bCs/>
                <w:szCs w:val="28"/>
              </w:rPr>
              <w:t>Employee absent with a</w:t>
            </w:r>
          </w:p>
          <w:p w:rsidR="007E4EDE" w:rsidRPr="00A36DAC" w:rsidRDefault="007E4EDE" w:rsidP="00167F2C">
            <w:pPr>
              <w:pStyle w:val="Default"/>
              <w:jc w:val="center"/>
              <w:rPr>
                <w:b/>
              </w:rPr>
            </w:pPr>
            <w:r w:rsidRPr="00A36DAC">
              <w:rPr>
                <w:b/>
              </w:rPr>
              <w:t>Musculoskeletal Disorder (MSD)</w:t>
            </w:r>
          </w:p>
        </w:tc>
      </w:tr>
      <w:tr w:rsidR="007E4EDE">
        <w:tc>
          <w:tcPr>
            <w:tcW w:w="4927" w:type="dxa"/>
            <w:gridSpan w:val="5"/>
            <w:tcBorders>
              <w:top w:val="single" w:sz="4" w:space="0" w:color="FFFFFF"/>
              <w:left w:val="single" w:sz="4" w:space="0" w:color="FFFFFF"/>
              <w:bottom w:val="single" w:sz="12" w:space="0" w:color="auto"/>
              <w:right w:val="single" w:sz="18" w:space="0" w:color="auto"/>
            </w:tcBorders>
          </w:tcPr>
          <w:p w:rsidR="007E4EDE" w:rsidRDefault="007E4EDE" w:rsidP="00167F2C">
            <w:pPr>
              <w:pStyle w:val="Default"/>
              <w:jc w:val="both"/>
            </w:pPr>
          </w:p>
        </w:tc>
        <w:tc>
          <w:tcPr>
            <w:tcW w:w="4962" w:type="dxa"/>
            <w:gridSpan w:val="3"/>
            <w:tcBorders>
              <w:top w:val="single" w:sz="4" w:space="0" w:color="FFFFFF"/>
              <w:left w:val="single" w:sz="18" w:space="0" w:color="auto"/>
              <w:bottom w:val="single" w:sz="12" w:space="0" w:color="auto"/>
              <w:right w:val="single" w:sz="4" w:space="0" w:color="FFFFFF"/>
            </w:tcBorders>
          </w:tcPr>
          <w:p w:rsidR="007E4EDE" w:rsidRDefault="007E4EDE" w:rsidP="00167F2C">
            <w:pPr>
              <w:pStyle w:val="Default"/>
              <w:jc w:val="both"/>
            </w:pPr>
          </w:p>
        </w:tc>
      </w:tr>
      <w:tr w:rsidR="007E4EDE">
        <w:tc>
          <w:tcPr>
            <w:tcW w:w="9889" w:type="dxa"/>
            <w:gridSpan w:val="8"/>
            <w:tcBorders>
              <w:top w:val="single" w:sz="12" w:space="0" w:color="auto"/>
              <w:left w:val="single" w:sz="12" w:space="0" w:color="auto"/>
              <w:bottom w:val="single" w:sz="12" w:space="0" w:color="auto"/>
              <w:right w:val="single" w:sz="12" w:space="0" w:color="auto"/>
            </w:tcBorders>
          </w:tcPr>
          <w:p w:rsidR="007E4EDE" w:rsidRPr="007E4EDE" w:rsidRDefault="007E4EDE" w:rsidP="00167F2C">
            <w:pPr>
              <w:spacing w:before="120" w:after="60"/>
              <w:ind w:left="181"/>
              <w:rPr>
                <w:rFonts w:ascii="Arial" w:hAnsi="Arial" w:cs="Arial"/>
              </w:rPr>
            </w:pPr>
            <w:r w:rsidRPr="007E4EDE">
              <w:rPr>
                <w:rFonts w:ascii="Arial" w:hAnsi="Arial" w:cs="Arial"/>
              </w:rPr>
              <w:t>On 1</w:t>
            </w:r>
            <w:r w:rsidRPr="007E4EDE">
              <w:rPr>
                <w:rFonts w:ascii="Arial" w:hAnsi="Arial" w:cs="Arial"/>
                <w:vertAlign w:val="superscript"/>
              </w:rPr>
              <w:t>st</w:t>
            </w:r>
            <w:r w:rsidRPr="007E4EDE">
              <w:rPr>
                <w:rFonts w:ascii="Arial" w:hAnsi="Arial" w:cs="Arial"/>
              </w:rPr>
              <w:t xml:space="preserve"> day of absence, establish with the employee that absence is due to an MSD, then;</w:t>
            </w:r>
          </w:p>
          <w:p w:rsidR="007E4EDE" w:rsidRPr="007E4EDE" w:rsidRDefault="007E4EDE" w:rsidP="007E4EDE">
            <w:pPr>
              <w:numPr>
                <w:ilvl w:val="0"/>
                <w:numId w:val="5"/>
              </w:numPr>
              <w:tabs>
                <w:tab w:val="clear" w:pos="1080"/>
                <w:tab w:val="num" w:pos="567"/>
              </w:tabs>
              <w:spacing w:after="60"/>
              <w:ind w:left="567" w:hanging="283"/>
              <w:rPr>
                <w:rFonts w:ascii="Arial" w:hAnsi="Arial" w:cs="Arial"/>
              </w:rPr>
            </w:pPr>
            <w:r w:rsidRPr="007E4EDE">
              <w:rPr>
                <w:rFonts w:ascii="Arial" w:hAnsi="Arial" w:cs="Arial"/>
              </w:rPr>
              <w:t>Identify how long the absence is likely to last</w:t>
            </w:r>
          </w:p>
          <w:p w:rsidR="007E4EDE" w:rsidRPr="007E4EDE" w:rsidRDefault="007E4EDE" w:rsidP="007E4EDE">
            <w:pPr>
              <w:numPr>
                <w:ilvl w:val="0"/>
                <w:numId w:val="5"/>
              </w:numPr>
              <w:tabs>
                <w:tab w:val="clear" w:pos="1080"/>
                <w:tab w:val="num" w:pos="567"/>
              </w:tabs>
              <w:spacing w:after="60"/>
              <w:ind w:left="567" w:hanging="283"/>
              <w:rPr>
                <w:rFonts w:ascii="Arial" w:hAnsi="Arial" w:cs="Arial"/>
              </w:rPr>
            </w:pPr>
            <w:r w:rsidRPr="007E4EDE">
              <w:rPr>
                <w:rFonts w:ascii="Arial" w:hAnsi="Arial" w:cs="Arial"/>
              </w:rPr>
              <w:t>Irrespective of likely absence length, advise employee to self refer to Occupational  Health Physiotherapy service, details are in Appe</w:t>
            </w:r>
            <w:r w:rsidRPr="007E4EDE">
              <w:rPr>
                <w:rFonts w:ascii="Arial" w:hAnsi="Arial" w:cs="Arial"/>
              </w:rPr>
              <w:t>n</w:t>
            </w:r>
            <w:r w:rsidRPr="007E4EDE">
              <w:rPr>
                <w:rFonts w:ascii="Arial" w:hAnsi="Arial" w:cs="Arial"/>
              </w:rPr>
              <w:t xml:space="preserve">dix B </w:t>
            </w:r>
            <w:r>
              <w:rPr>
                <w:rFonts w:ascii="Arial" w:hAnsi="Arial" w:cs="Arial"/>
              </w:rPr>
              <w:t>of main document</w:t>
            </w:r>
          </w:p>
          <w:p w:rsidR="007E4EDE" w:rsidRPr="007E4EDE" w:rsidRDefault="007E4EDE" w:rsidP="007E4EDE">
            <w:pPr>
              <w:numPr>
                <w:ilvl w:val="0"/>
                <w:numId w:val="5"/>
              </w:numPr>
              <w:tabs>
                <w:tab w:val="clear" w:pos="1080"/>
                <w:tab w:val="num" w:pos="567"/>
              </w:tabs>
              <w:spacing w:after="60"/>
              <w:ind w:left="567" w:hanging="283"/>
              <w:rPr>
                <w:rFonts w:ascii="Arial" w:hAnsi="Arial" w:cs="Arial"/>
              </w:rPr>
            </w:pPr>
            <w:r w:rsidRPr="007E4EDE">
              <w:rPr>
                <w:rFonts w:ascii="Arial" w:hAnsi="Arial" w:cs="Arial"/>
              </w:rPr>
              <w:t>Signpost employee to information for self help, including exercises , information available in Appendix C</w:t>
            </w:r>
            <w:r>
              <w:rPr>
                <w:rFonts w:ascii="Arial" w:hAnsi="Arial" w:cs="Arial"/>
              </w:rPr>
              <w:t xml:space="preserve"> of main document</w:t>
            </w:r>
            <w:r w:rsidRPr="007E4EDE">
              <w:rPr>
                <w:rFonts w:ascii="Arial" w:hAnsi="Arial" w:cs="Arial"/>
              </w:rPr>
              <w:t xml:space="preserve">  </w:t>
            </w:r>
          </w:p>
          <w:p w:rsidR="007E4EDE" w:rsidRPr="007E4EDE" w:rsidRDefault="007E4EDE" w:rsidP="007E4EDE">
            <w:pPr>
              <w:numPr>
                <w:ilvl w:val="0"/>
                <w:numId w:val="5"/>
              </w:numPr>
              <w:tabs>
                <w:tab w:val="clear" w:pos="1080"/>
                <w:tab w:val="num" w:pos="567"/>
              </w:tabs>
              <w:spacing w:after="60"/>
              <w:ind w:left="567" w:hanging="283"/>
              <w:rPr>
                <w:rFonts w:ascii="Arial" w:hAnsi="Arial" w:cs="Arial"/>
              </w:rPr>
            </w:pPr>
            <w:r w:rsidRPr="007E4EDE">
              <w:rPr>
                <w:rFonts w:ascii="Arial" w:hAnsi="Arial" w:cs="Arial"/>
              </w:rPr>
              <w:t xml:space="preserve">Identify whether MSD is work related, if so, please see Appendix D </w:t>
            </w:r>
            <w:r>
              <w:rPr>
                <w:rFonts w:ascii="Arial" w:hAnsi="Arial" w:cs="Arial"/>
              </w:rPr>
              <w:t>of main document</w:t>
            </w:r>
          </w:p>
          <w:p w:rsidR="007E4EDE" w:rsidRPr="001C6E94" w:rsidRDefault="007E4EDE" w:rsidP="007E4EDE">
            <w:pPr>
              <w:numPr>
                <w:ilvl w:val="0"/>
                <w:numId w:val="5"/>
              </w:numPr>
              <w:tabs>
                <w:tab w:val="clear" w:pos="1080"/>
                <w:tab w:val="num" w:pos="567"/>
              </w:tabs>
              <w:spacing w:after="60"/>
              <w:ind w:left="567" w:hanging="283"/>
              <w:rPr>
                <w:rFonts w:ascii="Arial" w:hAnsi="Arial" w:cs="Arial"/>
                <w:sz w:val="22"/>
                <w:szCs w:val="22"/>
              </w:rPr>
            </w:pPr>
            <w:r w:rsidRPr="007E4EDE">
              <w:rPr>
                <w:rFonts w:ascii="Arial" w:hAnsi="Arial" w:cs="Arial"/>
              </w:rPr>
              <w:t>Agree follow up call if absence &gt; than 7 days</w:t>
            </w:r>
          </w:p>
        </w:tc>
      </w:tr>
      <w:tr w:rsidR="007E4EDE" w:rsidRPr="001C616C">
        <w:tc>
          <w:tcPr>
            <w:tcW w:w="4927" w:type="dxa"/>
            <w:gridSpan w:val="5"/>
            <w:tcBorders>
              <w:top w:val="single" w:sz="12" w:space="0" w:color="auto"/>
              <w:left w:val="single" w:sz="4" w:space="0" w:color="FFFFFF"/>
              <w:bottom w:val="single" w:sz="4" w:space="0" w:color="FFFFFF"/>
              <w:right w:val="single" w:sz="18" w:space="0" w:color="auto"/>
            </w:tcBorders>
          </w:tcPr>
          <w:p w:rsidR="007E4EDE" w:rsidRPr="001C616C" w:rsidRDefault="007E4EDE" w:rsidP="00167F2C">
            <w:pPr>
              <w:pStyle w:val="Default"/>
              <w:jc w:val="both"/>
              <w:rPr>
                <w:sz w:val="18"/>
              </w:rPr>
            </w:pPr>
          </w:p>
        </w:tc>
        <w:tc>
          <w:tcPr>
            <w:tcW w:w="4962" w:type="dxa"/>
            <w:gridSpan w:val="3"/>
            <w:tcBorders>
              <w:top w:val="single" w:sz="12" w:space="0" w:color="auto"/>
              <w:left w:val="single" w:sz="18" w:space="0" w:color="auto"/>
              <w:bottom w:val="single" w:sz="4" w:space="0" w:color="FFFFFF"/>
              <w:right w:val="single" w:sz="4" w:space="0" w:color="FFFFFF"/>
            </w:tcBorders>
          </w:tcPr>
          <w:p w:rsidR="007E4EDE" w:rsidRPr="001C616C" w:rsidRDefault="007E4EDE" w:rsidP="00167F2C">
            <w:pPr>
              <w:pStyle w:val="Default"/>
              <w:jc w:val="both"/>
              <w:rPr>
                <w:sz w:val="18"/>
              </w:rPr>
            </w:pPr>
          </w:p>
        </w:tc>
      </w:tr>
      <w:tr w:rsidR="007E4EDE" w:rsidRPr="001C616C">
        <w:tc>
          <w:tcPr>
            <w:tcW w:w="2376" w:type="dxa"/>
            <w:gridSpan w:val="2"/>
            <w:tcBorders>
              <w:top w:val="single" w:sz="4" w:space="0" w:color="FFFFFF"/>
              <w:left w:val="single" w:sz="4" w:space="0" w:color="FFFFFF"/>
              <w:right w:val="single" w:sz="18" w:space="0" w:color="auto"/>
            </w:tcBorders>
          </w:tcPr>
          <w:p w:rsidR="007E4EDE" w:rsidRPr="001C616C" w:rsidRDefault="007E4EDE" w:rsidP="00167F2C">
            <w:pPr>
              <w:pStyle w:val="Default"/>
              <w:jc w:val="both"/>
              <w:rPr>
                <w:sz w:val="18"/>
              </w:rPr>
            </w:pPr>
          </w:p>
        </w:tc>
        <w:tc>
          <w:tcPr>
            <w:tcW w:w="4820" w:type="dxa"/>
            <w:gridSpan w:val="4"/>
            <w:tcBorders>
              <w:top w:val="single" w:sz="18" w:space="0" w:color="auto"/>
              <w:left w:val="single" w:sz="18" w:space="0" w:color="auto"/>
              <w:bottom w:val="nil"/>
              <w:right w:val="single" w:sz="18" w:space="0" w:color="auto"/>
            </w:tcBorders>
          </w:tcPr>
          <w:p w:rsidR="007E4EDE" w:rsidRPr="001C616C" w:rsidRDefault="007E4EDE" w:rsidP="00167F2C">
            <w:pPr>
              <w:pStyle w:val="Default"/>
              <w:jc w:val="both"/>
              <w:rPr>
                <w:sz w:val="18"/>
              </w:rPr>
            </w:pPr>
          </w:p>
        </w:tc>
        <w:tc>
          <w:tcPr>
            <w:tcW w:w="2693" w:type="dxa"/>
            <w:gridSpan w:val="2"/>
            <w:tcBorders>
              <w:top w:val="single" w:sz="4" w:space="0" w:color="FFFFFF"/>
              <w:left w:val="single" w:sz="18" w:space="0" w:color="auto"/>
              <w:right w:val="single" w:sz="4" w:space="0" w:color="FFFFFF"/>
            </w:tcBorders>
          </w:tcPr>
          <w:p w:rsidR="007E4EDE" w:rsidRPr="001C616C" w:rsidRDefault="007E4EDE" w:rsidP="00167F2C">
            <w:pPr>
              <w:pStyle w:val="Default"/>
              <w:jc w:val="both"/>
              <w:rPr>
                <w:sz w:val="18"/>
              </w:rPr>
            </w:pPr>
          </w:p>
        </w:tc>
      </w:tr>
      <w:tr w:rsidR="007E4EDE">
        <w:tc>
          <w:tcPr>
            <w:tcW w:w="4218" w:type="dxa"/>
            <w:gridSpan w:val="3"/>
            <w:tcBorders>
              <w:top w:val="single" w:sz="12" w:space="0" w:color="auto"/>
              <w:left w:val="single" w:sz="12" w:space="0" w:color="auto"/>
              <w:bottom w:val="single" w:sz="12" w:space="0" w:color="auto"/>
              <w:right w:val="single" w:sz="12" w:space="0" w:color="auto"/>
            </w:tcBorders>
          </w:tcPr>
          <w:p w:rsidR="007E4EDE" w:rsidRPr="00083CB5" w:rsidRDefault="007E4EDE" w:rsidP="00167F2C">
            <w:pPr>
              <w:spacing w:before="120" w:after="120"/>
              <w:ind w:left="142" w:right="153"/>
              <w:jc w:val="center"/>
              <w:rPr>
                <w:rFonts w:ascii="Arial" w:hAnsi="Arial" w:cs="Arial"/>
                <w:b/>
                <w:bCs/>
                <w:sz w:val="22"/>
                <w:szCs w:val="22"/>
              </w:rPr>
            </w:pPr>
            <w:r w:rsidRPr="00083CB5">
              <w:rPr>
                <w:rFonts w:ascii="Arial" w:hAnsi="Arial" w:cs="Arial"/>
                <w:b/>
                <w:bCs/>
                <w:sz w:val="22"/>
                <w:szCs w:val="22"/>
              </w:rPr>
              <w:t xml:space="preserve">Absence </w:t>
            </w:r>
            <w:r w:rsidRPr="00083CB5">
              <w:rPr>
                <w:rFonts w:ascii="Arial" w:hAnsi="Arial" w:cs="Arial"/>
                <w:b/>
                <w:bCs/>
                <w:sz w:val="22"/>
                <w:szCs w:val="22"/>
                <w:u w:val="single"/>
              </w:rPr>
              <w:t>Less</w:t>
            </w:r>
            <w:r w:rsidRPr="00083CB5">
              <w:rPr>
                <w:rFonts w:ascii="Arial" w:hAnsi="Arial" w:cs="Arial"/>
                <w:b/>
                <w:bCs/>
                <w:sz w:val="22"/>
                <w:szCs w:val="22"/>
              </w:rPr>
              <w:t xml:space="preserve"> than 14 days</w:t>
            </w:r>
          </w:p>
          <w:p w:rsidR="007E4EDE" w:rsidRPr="00083CB5" w:rsidRDefault="007E4EDE" w:rsidP="00167F2C">
            <w:pPr>
              <w:spacing w:after="60"/>
              <w:ind w:left="142" w:right="153"/>
              <w:rPr>
                <w:rFonts w:ascii="Arial" w:hAnsi="Arial" w:cs="Arial"/>
                <w:sz w:val="22"/>
                <w:szCs w:val="22"/>
              </w:rPr>
            </w:pPr>
            <w:r w:rsidRPr="00083CB5">
              <w:rPr>
                <w:rFonts w:ascii="Arial" w:hAnsi="Arial" w:cs="Arial"/>
                <w:sz w:val="22"/>
                <w:szCs w:val="22"/>
              </w:rPr>
              <w:t xml:space="preserve">Identify whether employee has had </w:t>
            </w:r>
            <w:r w:rsidRPr="00083CB5">
              <w:rPr>
                <w:rFonts w:ascii="Arial" w:hAnsi="Arial" w:cs="Arial"/>
                <w:b/>
                <w:bCs/>
                <w:sz w:val="22"/>
                <w:szCs w:val="22"/>
              </w:rPr>
              <w:t>four or more</w:t>
            </w:r>
            <w:r w:rsidRPr="00083CB5">
              <w:rPr>
                <w:rFonts w:ascii="Arial" w:hAnsi="Arial" w:cs="Arial"/>
                <w:sz w:val="22"/>
                <w:szCs w:val="22"/>
              </w:rPr>
              <w:t xml:space="preserve"> previous periods of absence lasting one or more days due to any MSD within the last twelve months:</w:t>
            </w:r>
          </w:p>
          <w:p w:rsidR="007E4EDE" w:rsidRPr="00083CB5" w:rsidRDefault="007E4EDE" w:rsidP="007E4EDE">
            <w:pPr>
              <w:numPr>
                <w:ilvl w:val="1"/>
                <w:numId w:val="2"/>
              </w:numPr>
              <w:tabs>
                <w:tab w:val="clear" w:pos="1440"/>
                <w:tab w:val="num" w:pos="567"/>
              </w:tabs>
              <w:spacing w:after="60"/>
              <w:ind w:left="567" w:right="153" w:hanging="283"/>
              <w:rPr>
                <w:rFonts w:ascii="Arial" w:hAnsi="Arial" w:cs="Arial"/>
                <w:sz w:val="22"/>
                <w:szCs w:val="22"/>
              </w:rPr>
            </w:pPr>
            <w:r w:rsidRPr="00083CB5">
              <w:rPr>
                <w:rFonts w:ascii="Arial" w:hAnsi="Arial" w:cs="Arial"/>
                <w:b/>
                <w:bCs/>
                <w:sz w:val="22"/>
                <w:szCs w:val="22"/>
              </w:rPr>
              <w:t>If yes</w:t>
            </w:r>
            <w:r w:rsidRPr="00083CB5">
              <w:rPr>
                <w:rFonts w:ascii="Arial" w:hAnsi="Arial" w:cs="Arial"/>
                <w:sz w:val="22"/>
                <w:szCs w:val="22"/>
              </w:rPr>
              <w:t xml:space="preserve"> – undertake a formal absence review meeting as per short term absence flowchart </w:t>
            </w:r>
            <w:hyperlink r:id="rId9" w:history="1">
              <w:r w:rsidRPr="00083CB5">
                <w:rPr>
                  <w:rStyle w:val="Hyperlink"/>
                  <w:rFonts w:ascii="Arial" w:hAnsi="Arial" w:cs="Arial"/>
                  <w:sz w:val="22"/>
                  <w:szCs w:val="22"/>
                </w:rPr>
                <w:t>he</w:t>
              </w:r>
              <w:r w:rsidRPr="00083CB5">
                <w:rPr>
                  <w:rStyle w:val="Hyperlink"/>
                  <w:rFonts w:ascii="Arial" w:hAnsi="Arial" w:cs="Arial"/>
                  <w:sz w:val="22"/>
                  <w:szCs w:val="22"/>
                </w:rPr>
                <w:t>r</w:t>
              </w:r>
              <w:r w:rsidRPr="00083CB5">
                <w:rPr>
                  <w:rStyle w:val="Hyperlink"/>
                  <w:rFonts w:ascii="Arial" w:hAnsi="Arial" w:cs="Arial"/>
                  <w:sz w:val="22"/>
                  <w:szCs w:val="22"/>
                </w:rPr>
                <w:t>e</w:t>
              </w:r>
            </w:hyperlink>
            <w:r w:rsidRPr="00083CB5">
              <w:rPr>
                <w:rFonts w:ascii="Arial" w:hAnsi="Arial" w:cs="Arial"/>
                <w:sz w:val="22"/>
                <w:szCs w:val="22"/>
              </w:rPr>
              <w:t xml:space="preserve">. If employee identifies an underlying health reason which links all four or more MSD absences, refer employee to Occupational Health using Occupational Health Management Referral Form </w:t>
            </w:r>
            <w:hyperlink r:id="rId10" w:history="1">
              <w:r w:rsidRPr="00083CB5">
                <w:rPr>
                  <w:rStyle w:val="Hyperlink"/>
                  <w:rFonts w:ascii="Arial" w:hAnsi="Arial" w:cs="Arial"/>
                  <w:sz w:val="22"/>
                  <w:szCs w:val="22"/>
                </w:rPr>
                <w:t>h</w:t>
              </w:r>
              <w:r w:rsidRPr="00083CB5">
                <w:rPr>
                  <w:rStyle w:val="Hyperlink"/>
                  <w:rFonts w:ascii="Arial" w:hAnsi="Arial" w:cs="Arial"/>
                  <w:sz w:val="22"/>
                  <w:szCs w:val="22"/>
                </w:rPr>
                <w:t>e</w:t>
              </w:r>
              <w:r w:rsidRPr="00083CB5">
                <w:rPr>
                  <w:rStyle w:val="Hyperlink"/>
                  <w:rFonts w:ascii="Arial" w:hAnsi="Arial" w:cs="Arial"/>
                  <w:sz w:val="22"/>
                  <w:szCs w:val="22"/>
                </w:rPr>
                <w:t>re</w:t>
              </w:r>
            </w:hyperlink>
            <w:r w:rsidRPr="00083CB5">
              <w:rPr>
                <w:rFonts w:ascii="Arial" w:hAnsi="Arial" w:cs="Arial"/>
                <w:sz w:val="22"/>
                <w:szCs w:val="22"/>
              </w:rPr>
              <w:t xml:space="preserve">. Instructions for completing the form are </w:t>
            </w:r>
            <w:hyperlink r:id="rId11" w:history="1">
              <w:r w:rsidRPr="00083CB5">
                <w:rPr>
                  <w:rStyle w:val="Hyperlink"/>
                  <w:rFonts w:ascii="Arial" w:hAnsi="Arial" w:cs="Arial"/>
                  <w:sz w:val="22"/>
                  <w:szCs w:val="22"/>
                </w:rPr>
                <w:t>he</w:t>
              </w:r>
              <w:r w:rsidRPr="00083CB5">
                <w:rPr>
                  <w:rStyle w:val="Hyperlink"/>
                  <w:rFonts w:ascii="Arial" w:hAnsi="Arial" w:cs="Arial"/>
                  <w:sz w:val="22"/>
                  <w:szCs w:val="22"/>
                </w:rPr>
                <w:t>r</w:t>
              </w:r>
              <w:r w:rsidRPr="00083CB5">
                <w:rPr>
                  <w:rStyle w:val="Hyperlink"/>
                  <w:rFonts w:ascii="Arial" w:hAnsi="Arial" w:cs="Arial"/>
                  <w:sz w:val="22"/>
                  <w:szCs w:val="22"/>
                </w:rPr>
                <w:t>e</w:t>
              </w:r>
            </w:hyperlink>
            <w:r w:rsidRPr="00083CB5">
              <w:rPr>
                <w:rFonts w:ascii="Arial" w:hAnsi="Arial" w:cs="Arial"/>
                <w:sz w:val="22"/>
                <w:szCs w:val="22"/>
              </w:rPr>
              <w:t>. Remember to ask specific questions e.g. how is the underlying health condition(s) likely to affect the persons ability to undertake their work activities? Are work activities contributing to the absences?</w:t>
            </w:r>
          </w:p>
          <w:p w:rsidR="007E4EDE" w:rsidRPr="00083CB5" w:rsidRDefault="007E4EDE" w:rsidP="007E4EDE">
            <w:pPr>
              <w:numPr>
                <w:ilvl w:val="1"/>
                <w:numId w:val="2"/>
              </w:numPr>
              <w:tabs>
                <w:tab w:val="clear" w:pos="1440"/>
                <w:tab w:val="num" w:pos="567"/>
              </w:tabs>
              <w:spacing w:after="60"/>
              <w:ind w:left="567" w:right="153" w:hanging="283"/>
              <w:rPr>
                <w:rFonts w:ascii="Arial" w:hAnsi="Arial" w:cs="Arial"/>
                <w:sz w:val="22"/>
                <w:szCs w:val="22"/>
              </w:rPr>
            </w:pPr>
            <w:r w:rsidRPr="00083CB5">
              <w:rPr>
                <w:rFonts w:ascii="Arial" w:hAnsi="Arial" w:cs="Arial"/>
                <w:b/>
                <w:bCs/>
                <w:sz w:val="22"/>
                <w:szCs w:val="22"/>
              </w:rPr>
              <w:t>If no</w:t>
            </w:r>
            <w:r w:rsidRPr="00083CB5">
              <w:rPr>
                <w:rFonts w:ascii="Arial" w:hAnsi="Arial" w:cs="Arial"/>
                <w:sz w:val="22"/>
                <w:szCs w:val="22"/>
              </w:rPr>
              <w:t xml:space="preserve"> – undertake return to work meeting (see below). </w:t>
            </w:r>
          </w:p>
        </w:tc>
        <w:tc>
          <w:tcPr>
            <w:tcW w:w="284" w:type="dxa"/>
            <w:tcBorders>
              <w:top w:val="single" w:sz="4" w:space="0" w:color="FFFFFF"/>
              <w:left w:val="single" w:sz="12" w:space="0" w:color="auto"/>
              <w:bottom w:val="single" w:sz="4" w:space="0" w:color="FFFFFF"/>
              <w:right w:val="single" w:sz="12" w:space="0" w:color="auto"/>
            </w:tcBorders>
          </w:tcPr>
          <w:p w:rsidR="007E4EDE" w:rsidRDefault="007E4EDE" w:rsidP="00167F2C">
            <w:pPr>
              <w:pStyle w:val="Default"/>
              <w:jc w:val="both"/>
            </w:pPr>
          </w:p>
        </w:tc>
        <w:tc>
          <w:tcPr>
            <w:tcW w:w="5387" w:type="dxa"/>
            <w:gridSpan w:val="4"/>
            <w:tcBorders>
              <w:top w:val="single" w:sz="12" w:space="0" w:color="auto"/>
              <w:left w:val="single" w:sz="12" w:space="0" w:color="auto"/>
              <w:bottom w:val="single" w:sz="12" w:space="0" w:color="auto"/>
              <w:right w:val="single" w:sz="12" w:space="0" w:color="auto"/>
            </w:tcBorders>
          </w:tcPr>
          <w:p w:rsidR="007E4EDE" w:rsidRPr="00083CB5" w:rsidRDefault="007E4EDE" w:rsidP="00167F2C">
            <w:pPr>
              <w:spacing w:before="120"/>
              <w:ind w:left="142"/>
              <w:jc w:val="center"/>
              <w:rPr>
                <w:rFonts w:ascii="Arial" w:hAnsi="Arial" w:cs="Arial"/>
                <w:b/>
                <w:bCs/>
                <w:sz w:val="22"/>
                <w:szCs w:val="22"/>
              </w:rPr>
            </w:pPr>
            <w:r w:rsidRPr="00083CB5">
              <w:rPr>
                <w:rFonts w:ascii="Arial" w:hAnsi="Arial" w:cs="Arial"/>
                <w:b/>
                <w:bCs/>
                <w:sz w:val="22"/>
                <w:szCs w:val="22"/>
              </w:rPr>
              <w:t xml:space="preserve">Absence </w:t>
            </w:r>
            <w:r w:rsidRPr="00083CB5">
              <w:rPr>
                <w:rFonts w:ascii="Arial" w:hAnsi="Arial" w:cs="Arial"/>
                <w:b/>
                <w:bCs/>
                <w:sz w:val="22"/>
                <w:szCs w:val="22"/>
                <w:u w:val="single"/>
              </w:rPr>
              <w:t>Greater</w:t>
            </w:r>
            <w:r w:rsidRPr="00083CB5">
              <w:rPr>
                <w:rFonts w:ascii="Arial" w:hAnsi="Arial" w:cs="Arial"/>
                <w:b/>
                <w:bCs/>
                <w:sz w:val="22"/>
                <w:szCs w:val="22"/>
              </w:rPr>
              <w:t xml:space="preserve"> than 14 days and unlikely to resolve within the next 14 days</w:t>
            </w:r>
          </w:p>
          <w:p w:rsidR="007E4EDE" w:rsidRPr="00083CB5" w:rsidRDefault="007E4EDE" w:rsidP="007E4EDE">
            <w:pPr>
              <w:numPr>
                <w:ilvl w:val="3"/>
                <w:numId w:val="4"/>
              </w:numPr>
              <w:tabs>
                <w:tab w:val="clear" w:pos="2520"/>
                <w:tab w:val="num" w:pos="426"/>
              </w:tabs>
              <w:spacing w:before="120"/>
              <w:ind w:left="426" w:hanging="284"/>
              <w:rPr>
                <w:rFonts w:ascii="Arial" w:hAnsi="Arial" w:cs="Arial"/>
                <w:sz w:val="22"/>
                <w:szCs w:val="22"/>
              </w:rPr>
            </w:pPr>
            <w:r w:rsidRPr="00083CB5">
              <w:rPr>
                <w:rFonts w:ascii="Arial" w:hAnsi="Arial" w:cs="Arial"/>
                <w:sz w:val="22"/>
                <w:szCs w:val="22"/>
              </w:rPr>
              <w:t xml:space="preserve">Identify if employee receiving active treatment, if yes go to point 2 &amp; 3 below, if no, complete the Occupational Health Management Referral Form </w:t>
            </w:r>
            <w:hyperlink r:id="rId12" w:history="1">
              <w:r w:rsidRPr="00083CB5">
                <w:rPr>
                  <w:rStyle w:val="Hyperlink"/>
                  <w:rFonts w:ascii="Arial" w:hAnsi="Arial" w:cs="Arial"/>
                  <w:sz w:val="22"/>
                  <w:szCs w:val="22"/>
                </w:rPr>
                <w:t>h</w:t>
              </w:r>
              <w:r w:rsidRPr="00083CB5">
                <w:rPr>
                  <w:rStyle w:val="Hyperlink"/>
                  <w:rFonts w:ascii="Arial" w:hAnsi="Arial" w:cs="Arial"/>
                  <w:sz w:val="22"/>
                  <w:szCs w:val="22"/>
                </w:rPr>
                <w:t>e</w:t>
              </w:r>
              <w:r w:rsidRPr="00083CB5">
                <w:rPr>
                  <w:rStyle w:val="Hyperlink"/>
                  <w:rFonts w:ascii="Arial" w:hAnsi="Arial" w:cs="Arial"/>
                  <w:sz w:val="22"/>
                  <w:szCs w:val="22"/>
                </w:rPr>
                <w:t>re</w:t>
              </w:r>
            </w:hyperlink>
            <w:r w:rsidRPr="00083CB5">
              <w:rPr>
                <w:rFonts w:ascii="Arial" w:hAnsi="Arial" w:cs="Arial"/>
                <w:sz w:val="22"/>
                <w:szCs w:val="22"/>
              </w:rPr>
              <w:t xml:space="preserve">. Instructions for completing the form are </w:t>
            </w:r>
            <w:hyperlink r:id="rId13" w:history="1">
              <w:r w:rsidRPr="00083CB5">
                <w:rPr>
                  <w:rStyle w:val="Hyperlink"/>
                  <w:rFonts w:ascii="Arial" w:hAnsi="Arial" w:cs="Arial"/>
                  <w:sz w:val="22"/>
                  <w:szCs w:val="22"/>
                </w:rPr>
                <w:t>here</w:t>
              </w:r>
            </w:hyperlink>
            <w:r w:rsidRPr="00083CB5">
              <w:rPr>
                <w:rFonts w:ascii="Arial" w:hAnsi="Arial" w:cs="Arial"/>
                <w:sz w:val="22"/>
                <w:szCs w:val="22"/>
              </w:rPr>
              <w:t>. Remember to ask specific questions, e.g. is the employee fit to return to work, if not, what adjustments would be necessary to facilitate return to work? Add in here the type of accommodations that you could make e.g. altered duties, place of work, shift pattern, hours of work, job role etc. Now go to points 2 and 3 below</w:t>
            </w:r>
          </w:p>
          <w:p w:rsidR="007E4EDE" w:rsidRPr="00083CB5" w:rsidRDefault="007E4EDE" w:rsidP="007E4EDE">
            <w:pPr>
              <w:numPr>
                <w:ilvl w:val="0"/>
                <w:numId w:val="4"/>
              </w:numPr>
              <w:tabs>
                <w:tab w:val="num" w:pos="426"/>
              </w:tabs>
              <w:spacing w:after="60"/>
              <w:ind w:left="426" w:right="120" w:hanging="284"/>
              <w:rPr>
                <w:rFonts w:ascii="Arial" w:hAnsi="Arial" w:cs="Arial"/>
                <w:sz w:val="22"/>
                <w:szCs w:val="22"/>
              </w:rPr>
            </w:pPr>
            <w:r w:rsidRPr="00083CB5">
              <w:rPr>
                <w:rFonts w:ascii="Arial" w:hAnsi="Arial" w:cs="Arial"/>
                <w:sz w:val="22"/>
                <w:szCs w:val="22"/>
              </w:rPr>
              <w:t xml:space="preserve">If absence identified by employee as work related, report on </w:t>
            </w:r>
            <w:hyperlink r:id="rId14" w:history="1">
              <w:r w:rsidRPr="00083CB5">
                <w:rPr>
                  <w:rStyle w:val="Hyperlink"/>
                  <w:rFonts w:ascii="Arial" w:hAnsi="Arial" w:cs="Arial"/>
                  <w:sz w:val="22"/>
                  <w:szCs w:val="22"/>
                </w:rPr>
                <w:t>D</w:t>
              </w:r>
              <w:r w:rsidRPr="00083CB5">
                <w:rPr>
                  <w:rStyle w:val="Hyperlink"/>
                  <w:rFonts w:ascii="Arial" w:hAnsi="Arial" w:cs="Arial"/>
                  <w:sz w:val="22"/>
                  <w:szCs w:val="22"/>
                </w:rPr>
                <w:t>A</w:t>
              </w:r>
              <w:r w:rsidRPr="00083CB5">
                <w:rPr>
                  <w:rStyle w:val="Hyperlink"/>
                  <w:rFonts w:ascii="Arial" w:hAnsi="Arial" w:cs="Arial"/>
                  <w:sz w:val="22"/>
                  <w:szCs w:val="22"/>
                </w:rPr>
                <w:t>TIX</w:t>
              </w:r>
            </w:hyperlink>
          </w:p>
          <w:p w:rsidR="007E4EDE" w:rsidRPr="00083CB5" w:rsidRDefault="007E4EDE" w:rsidP="007E4EDE">
            <w:pPr>
              <w:numPr>
                <w:ilvl w:val="0"/>
                <w:numId w:val="4"/>
              </w:numPr>
              <w:tabs>
                <w:tab w:val="num" w:pos="426"/>
              </w:tabs>
              <w:spacing w:after="60"/>
              <w:ind w:left="426" w:hanging="284"/>
              <w:rPr>
                <w:rFonts w:ascii="Arial" w:hAnsi="Arial" w:cs="Arial"/>
                <w:sz w:val="22"/>
                <w:szCs w:val="22"/>
              </w:rPr>
            </w:pPr>
            <w:r w:rsidRPr="00083CB5">
              <w:rPr>
                <w:rFonts w:ascii="Arial" w:hAnsi="Arial" w:cs="Arial"/>
                <w:sz w:val="22"/>
                <w:szCs w:val="22"/>
              </w:rPr>
              <w:t xml:space="preserve">Agree follow up call at appropriate intervals, initially at least weekly. </w:t>
            </w:r>
          </w:p>
          <w:p w:rsidR="007E4EDE" w:rsidRPr="00083CB5" w:rsidRDefault="007E4EDE" w:rsidP="00167F2C">
            <w:pPr>
              <w:spacing w:after="60"/>
              <w:ind w:left="142"/>
              <w:rPr>
                <w:rFonts w:ascii="Arial" w:hAnsi="Arial" w:cs="Arial"/>
                <w:sz w:val="22"/>
                <w:szCs w:val="22"/>
              </w:rPr>
            </w:pPr>
            <w:r w:rsidRPr="00083CB5">
              <w:rPr>
                <w:rFonts w:ascii="Arial" w:hAnsi="Arial" w:cs="Arial"/>
                <w:b/>
                <w:sz w:val="22"/>
                <w:szCs w:val="22"/>
              </w:rPr>
              <w:t>NB</w:t>
            </w:r>
            <w:r w:rsidRPr="00083CB5">
              <w:rPr>
                <w:rFonts w:ascii="Arial" w:hAnsi="Arial" w:cs="Arial"/>
                <w:sz w:val="22"/>
                <w:szCs w:val="22"/>
              </w:rPr>
              <w:t xml:space="preserve"> If employee has had more than four episodes of absence for </w:t>
            </w:r>
            <w:r w:rsidRPr="00083CB5">
              <w:rPr>
                <w:rFonts w:ascii="Arial" w:hAnsi="Arial" w:cs="Arial"/>
                <w:b/>
                <w:bCs/>
                <w:sz w:val="22"/>
                <w:szCs w:val="22"/>
              </w:rPr>
              <w:t>any</w:t>
            </w:r>
            <w:r w:rsidRPr="00083CB5">
              <w:rPr>
                <w:rFonts w:ascii="Arial" w:hAnsi="Arial" w:cs="Arial"/>
                <w:sz w:val="22"/>
                <w:szCs w:val="22"/>
              </w:rPr>
              <w:t xml:space="preserve"> MSD, refer to Short Term Absence flowchart </w:t>
            </w:r>
            <w:hyperlink r:id="rId15" w:history="1">
              <w:r w:rsidRPr="00083CB5">
                <w:rPr>
                  <w:rStyle w:val="Hyperlink"/>
                  <w:rFonts w:ascii="Arial" w:hAnsi="Arial" w:cs="Arial"/>
                  <w:sz w:val="22"/>
                  <w:szCs w:val="22"/>
                </w:rPr>
                <w:t>he</w:t>
              </w:r>
              <w:r w:rsidRPr="00083CB5">
                <w:rPr>
                  <w:rStyle w:val="Hyperlink"/>
                  <w:rFonts w:ascii="Arial" w:hAnsi="Arial" w:cs="Arial"/>
                  <w:sz w:val="22"/>
                  <w:szCs w:val="22"/>
                </w:rPr>
                <w:t>r</w:t>
              </w:r>
              <w:r w:rsidRPr="00083CB5">
                <w:rPr>
                  <w:rStyle w:val="Hyperlink"/>
                  <w:rFonts w:ascii="Arial" w:hAnsi="Arial" w:cs="Arial"/>
                  <w:sz w:val="22"/>
                  <w:szCs w:val="22"/>
                </w:rPr>
                <w:t>e</w:t>
              </w:r>
            </w:hyperlink>
            <w:r w:rsidRPr="00083CB5">
              <w:rPr>
                <w:rFonts w:ascii="Arial" w:hAnsi="Arial" w:cs="Arial"/>
                <w:sz w:val="22"/>
                <w:szCs w:val="22"/>
              </w:rPr>
              <w:t>.</w:t>
            </w:r>
          </w:p>
          <w:p w:rsidR="007E4EDE" w:rsidRPr="00083CB5" w:rsidRDefault="007E4EDE" w:rsidP="00167F2C">
            <w:pPr>
              <w:spacing w:before="120" w:after="120"/>
              <w:ind w:left="142"/>
              <w:jc w:val="center"/>
              <w:rPr>
                <w:rFonts w:ascii="Arial" w:hAnsi="Arial" w:cs="Arial"/>
                <w:b/>
                <w:bCs/>
                <w:sz w:val="22"/>
                <w:szCs w:val="22"/>
              </w:rPr>
            </w:pPr>
            <w:r w:rsidRPr="00083CB5">
              <w:rPr>
                <w:rFonts w:ascii="Arial" w:hAnsi="Arial" w:cs="Arial"/>
                <w:b/>
                <w:bCs/>
                <w:sz w:val="22"/>
                <w:szCs w:val="22"/>
              </w:rPr>
              <w:t xml:space="preserve">Absence </w:t>
            </w:r>
            <w:r w:rsidRPr="00083CB5">
              <w:rPr>
                <w:rFonts w:ascii="Arial" w:hAnsi="Arial" w:cs="Arial"/>
                <w:b/>
                <w:bCs/>
                <w:sz w:val="22"/>
                <w:szCs w:val="22"/>
                <w:u w:val="single"/>
              </w:rPr>
              <w:t>Greater</w:t>
            </w:r>
            <w:r w:rsidRPr="00083CB5">
              <w:rPr>
                <w:rFonts w:ascii="Arial" w:hAnsi="Arial" w:cs="Arial"/>
                <w:b/>
                <w:bCs/>
                <w:sz w:val="22"/>
                <w:szCs w:val="22"/>
              </w:rPr>
              <w:t xml:space="preserve"> than 28 days </w:t>
            </w:r>
          </w:p>
          <w:p w:rsidR="007E4EDE" w:rsidRPr="00083CB5" w:rsidRDefault="007E4EDE" w:rsidP="00167F2C">
            <w:pPr>
              <w:spacing w:after="60"/>
              <w:ind w:left="142"/>
              <w:rPr>
                <w:rFonts w:ascii="Arial" w:hAnsi="Arial" w:cs="Arial"/>
                <w:sz w:val="22"/>
                <w:szCs w:val="22"/>
              </w:rPr>
            </w:pPr>
            <w:r w:rsidRPr="00083CB5">
              <w:rPr>
                <w:rFonts w:ascii="Arial" w:hAnsi="Arial" w:cs="Arial"/>
                <w:sz w:val="22"/>
                <w:szCs w:val="22"/>
              </w:rPr>
              <w:t xml:space="preserve">Refer to Long Term Absence flowchart </w:t>
            </w:r>
            <w:hyperlink r:id="rId16" w:history="1">
              <w:r w:rsidRPr="00083CB5">
                <w:rPr>
                  <w:rStyle w:val="Hyperlink"/>
                  <w:rFonts w:ascii="Arial" w:hAnsi="Arial" w:cs="Arial"/>
                  <w:sz w:val="22"/>
                  <w:szCs w:val="22"/>
                </w:rPr>
                <w:t>here</w:t>
              </w:r>
            </w:hyperlink>
            <w:r w:rsidRPr="00083CB5">
              <w:rPr>
                <w:rFonts w:ascii="Arial" w:hAnsi="Arial" w:cs="Arial"/>
                <w:sz w:val="22"/>
                <w:szCs w:val="22"/>
              </w:rPr>
              <w:t xml:space="preserve">. If required, contact your HR Advisor for further guidance.  </w:t>
            </w:r>
          </w:p>
        </w:tc>
      </w:tr>
      <w:tr w:rsidR="007E4EDE" w:rsidRPr="001C616C">
        <w:trPr>
          <w:gridBefore w:val="2"/>
          <w:gridAfter w:val="2"/>
          <w:wBefore w:w="2376" w:type="dxa"/>
          <w:wAfter w:w="2693" w:type="dxa"/>
        </w:trPr>
        <w:tc>
          <w:tcPr>
            <w:tcW w:w="4820" w:type="dxa"/>
            <w:gridSpan w:val="4"/>
            <w:tcBorders>
              <w:top w:val="single" w:sz="4" w:space="0" w:color="FFFFFF"/>
              <w:left w:val="single" w:sz="18" w:space="0" w:color="auto"/>
              <w:bottom w:val="single" w:sz="18" w:space="0" w:color="auto"/>
              <w:right w:val="single" w:sz="18" w:space="0" w:color="auto"/>
            </w:tcBorders>
          </w:tcPr>
          <w:p w:rsidR="007E4EDE" w:rsidRPr="001C616C" w:rsidRDefault="007E4EDE" w:rsidP="00167F2C">
            <w:pPr>
              <w:pStyle w:val="Default"/>
              <w:jc w:val="both"/>
              <w:rPr>
                <w:sz w:val="18"/>
              </w:rPr>
            </w:pPr>
          </w:p>
        </w:tc>
      </w:tr>
      <w:tr w:rsidR="007E4EDE" w:rsidRPr="001C616C">
        <w:tc>
          <w:tcPr>
            <w:tcW w:w="4928" w:type="dxa"/>
            <w:gridSpan w:val="5"/>
            <w:tcBorders>
              <w:top w:val="single" w:sz="4" w:space="0" w:color="FFFFFF"/>
              <w:left w:val="single" w:sz="4" w:space="0" w:color="FFFFFF"/>
              <w:bottom w:val="single" w:sz="18" w:space="0" w:color="auto"/>
              <w:right w:val="single" w:sz="18" w:space="0" w:color="auto"/>
            </w:tcBorders>
          </w:tcPr>
          <w:p w:rsidR="007E4EDE" w:rsidRPr="001C616C" w:rsidRDefault="007E4EDE" w:rsidP="00167F2C">
            <w:pPr>
              <w:pStyle w:val="Default"/>
              <w:jc w:val="both"/>
              <w:rPr>
                <w:sz w:val="18"/>
              </w:rPr>
            </w:pPr>
          </w:p>
        </w:tc>
        <w:tc>
          <w:tcPr>
            <w:tcW w:w="4961" w:type="dxa"/>
            <w:gridSpan w:val="3"/>
            <w:tcBorders>
              <w:top w:val="single" w:sz="4" w:space="0" w:color="FFFFFF"/>
              <w:left w:val="single" w:sz="18" w:space="0" w:color="auto"/>
              <w:bottom w:val="single" w:sz="18" w:space="0" w:color="auto"/>
              <w:right w:val="single" w:sz="4" w:space="0" w:color="FFFFFF"/>
            </w:tcBorders>
          </w:tcPr>
          <w:p w:rsidR="007E4EDE" w:rsidRPr="001C616C" w:rsidRDefault="007E4EDE" w:rsidP="00167F2C">
            <w:pPr>
              <w:pStyle w:val="Default"/>
              <w:jc w:val="both"/>
              <w:rPr>
                <w:sz w:val="18"/>
              </w:rPr>
            </w:pPr>
          </w:p>
        </w:tc>
      </w:tr>
      <w:tr w:rsidR="007E4EDE">
        <w:trPr>
          <w:trHeight w:val="1151"/>
        </w:trPr>
        <w:tc>
          <w:tcPr>
            <w:tcW w:w="9889" w:type="dxa"/>
            <w:gridSpan w:val="8"/>
            <w:tcBorders>
              <w:top w:val="single" w:sz="18" w:space="0" w:color="auto"/>
              <w:left w:val="single" w:sz="18" w:space="0" w:color="auto"/>
              <w:bottom w:val="single" w:sz="18" w:space="0" w:color="auto"/>
              <w:right w:val="single" w:sz="18" w:space="0" w:color="auto"/>
            </w:tcBorders>
          </w:tcPr>
          <w:p w:rsidR="007E4EDE" w:rsidRPr="007E4EDE" w:rsidRDefault="007E4EDE" w:rsidP="00167F2C">
            <w:pPr>
              <w:spacing w:before="120" w:line="360" w:lineRule="auto"/>
              <w:jc w:val="center"/>
              <w:rPr>
                <w:rFonts w:ascii="Arial" w:hAnsi="Arial" w:cs="Arial"/>
                <w:b/>
                <w:bCs/>
                <w:szCs w:val="22"/>
              </w:rPr>
            </w:pPr>
            <w:r w:rsidRPr="007E4EDE">
              <w:rPr>
                <w:rFonts w:ascii="Arial" w:hAnsi="Arial" w:cs="Arial"/>
                <w:b/>
                <w:bCs/>
                <w:szCs w:val="22"/>
              </w:rPr>
              <w:t>Return to Work Meeting (RTWM)</w:t>
            </w:r>
          </w:p>
          <w:p w:rsidR="007E4EDE" w:rsidRPr="007E4EDE" w:rsidRDefault="007E4EDE" w:rsidP="00167F2C">
            <w:pPr>
              <w:numPr>
                <w:ilvl w:val="0"/>
                <w:numId w:val="3"/>
              </w:numPr>
              <w:tabs>
                <w:tab w:val="clear" w:pos="862"/>
                <w:tab w:val="num" w:pos="426"/>
              </w:tabs>
              <w:ind w:left="426" w:hanging="284"/>
              <w:rPr>
                <w:rFonts w:ascii="Arial" w:hAnsi="Arial" w:cs="Arial"/>
              </w:rPr>
            </w:pPr>
            <w:r w:rsidRPr="007E4EDE">
              <w:rPr>
                <w:rFonts w:ascii="Arial" w:hAnsi="Arial" w:cs="Arial"/>
              </w:rPr>
              <w:t xml:space="preserve">Advice on how to undertake this meeting can be found in Appendix 2 of the </w:t>
            </w:r>
            <w:hyperlink r:id="rId17" w:history="1">
              <w:r w:rsidRPr="007E4EDE">
                <w:rPr>
                  <w:rStyle w:val="Hyperlink"/>
                  <w:rFonts w:ascii="Arial" w:hAnsi="Arial" w:cs="Arial"/>
                </w:rPr>
                <w:t>Attendance Management Policy</w:t>
              </w:r>
            </w:hyperlink>
            <w:r w:rsidRPr="007E4EDE">
              <w:rPr>
                <w:rFonts w:ascii="Arial" w:hAnsi="Arial" w:cs="Arial"/>
              </w:rPr>
              <w:t xml:space="preserve">. </w:t>
            </w:r>
          </w:p>
        </w:tc>
      </w:tr>
    </w:tbl>
    <w:p w:rsidR="00643225" w:rsidRDefault="00643225" w:rsidP="007E4EDE"/>
    <w:sectPr w:rsidR="00643225" w:rsidSect="009B76E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2C" w:rsidRDefault="00167F2C">
      <w:r>
        <w:separator/>
      </w:r>
    </w:p>
  </w:endnote>
  <w:endnote w:type="continuationSeparator" w:id="0">
    <w:p w:rsidR="00167F2C" w:rsidRDefault="001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6F" w:rsidRPr="0080206F" w:rsidRDefault="0080206F">
    <w:pPr>
      <w:pStyle w:val="Footer"/>
      <w:rPr>
        <w:rFonts w:ascii="Arial" w:hAnsi="Arial" w:cs="Arial"/>
        <w:sz w:val="20"/>
      </w:rPr>
    </w:pPr>
    <w:r w:rsidRPr="00F37D3C">
      <w:rPr>
        <w:rFonts w:ascii="Arial" w:hAnsi="Arial" w:cs="Arial"/>
        <w:sz w:val="20"/>
      </w:rPr>
      <w:t>NHSGGC Guidance for Managing Musculoskeletal Disorders, V1, Section 4.</w:t>
    </w:r>
    <w:r>
      <w:rPr>
        <w:rFonts w:ascii="Arial" w:hAnsi="Arial" w:cs="Arial"/>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2C" w:rsidRDefault="00167F2C">
      <w:r>
        <w:separator/>
      </w:r>
    </w:p>
  </w:footnote>
  <w:footnote w:type="continuationSeparator" w:id="0">
    <w:p w:rsidR="00167F2C" w:rsidRDefault="0016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1B3"/>
    <w:multiLevelType w:val="multilevel"/>
    <w:tmpl w:val="43B28976"/>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Arial" w:hAnsi="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AE1879"/>
    <w:multiLevelType w:val="multilevel"/>
    <w:tmpl w:val="0409001F"/>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63C6C22"/>
    <w:multiLevelType w:val="hybridMultilevel"/>
    <w:tmpl w:val="62D4E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844557"/>
    <w:multiLevelType w:val="hybridMultilevel"/>
    <w:tmpl w:val="6D528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1F2CCD"/>
    <w:multiLevelType w:val="hybridMultilevel"/>
    <w:tmpl w:val="309664A2"/>
    <w:lvl w:ilvl="0" w:tplc="8CF64136">
      <w:start w:val="1"/>
      <w:numFmt w:val="bullet"/>
      <w:lvlText w:val=""/>
      <w:lvlJc w:val="left"/>
      <w:pPr>
        <w:tabs>
          <w:tab w:val="num" w:pos="720"/>
        </w:tabs>
        <w:ind w:left="720" w:hanging="360"/>
      </w:pPr>
      <w:rPr>
        <w:rFonts w:ascii="Symbol" w:hAnsi="Symbol" w:cs="Symbol" w:hint="default"/>
        <w:sz w:val="16"/>
        <w:szCs w:val="16"/>
      </w:rPr>
    </w:lvl>
    <w:lvl w:ilvl="1" w:tplc="ED184B0C">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ACA59AE"/>
    <w:multiLevelType w:val="hybridMultilevel"/>
    <w:tmpl w:val="3F561DD8"/>
    <w:lvl w:ilvl="0" w:tplc="A658F742">
      <w:start w:val="1"/>
      <w:numFmt w:val="bullet"/>
      <w:lvlText w:val=""/>
      <w:lvlJc w:val="left"/>
      <w:pPr>
        <w:tabs>
          <w:tab w:val="num" w:pos="862"/>
        </w:tabs>
        <w:ind w:left="862" w:hanging="360"/>
      </w:pPr>
      <w:rPr>
        <w:rFonts w:ascii="Symbol" w:hAnsi="Symbol" w:cs="Symbol" w:hint="default"/>
        <w:sz w:val="20"/>
        <w:szCs w:val="20"/>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6"/>
    <w:rsid w:val="00037DAD"/>
    <w:rsid w:val="00167F2C"/>
    <w:rsid w:val="005456EA"/>
    <w:rsid w:val="00643225"/>
    <w:rsid w:val="007E4EDE"/>
    <w:rsid w:val="0080206F"/>
    <w:rsid w:val="00847094"/>
    <w:rsid w:val="009B76E6"/>
    <w:rsid w:val="00A06FC7"/>
    <w:rsid w:val="00B85938"/>
    <w:rsid w:val="00D26970"/>
    <w:rsid w:val="00D87E8C"/>
    <w:rsid w:val="00FD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91D2B8-00D5-4799-8491-B3DC7BBE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DE"/>
    <w:rPr>
      <w:sz w:val="24"/>
      <w:szCs w:val="24"/>
    </w:rPr>
  </w:style>
  <w:style w:type="paragraph" w:styleId="Heading1">
    <w:name w:val="heading 1"/>
    <w:basedOn w:val="Normal"/>
    <w:next w:val="Normal"/>
    <w:link w:val="Heading1Char"/>
    <w:qFormat/>
    <w:rsid w:val="007E4EDE"/>
    <w:pPr>
      <w:keepNext/>
      <w:jc w:val="center"/>
      <w:outlineLvl w:val="0"/>
    </w:pPr>
    <w:rPr>
      <w:rFonts w:ascii="Arial" w:hAnsi="Arial" w:cs="Arial"/>
      <w:b/>
      <w:bCs/>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B76E6"/>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9B76E6"/>
    <w:rPr>
      <w:color w:val="auto"/>
    </w:rPr>
  </w:style>
  <w:style w:type="character" w:styleId="Hyperlink">
    <w:name w:val="Hyperlink"/>
    <w:basedOn w:val="DefaultParagraphFont"/>
    <w:rsid w:val="009B76E6"/>
    <w:rPr>
      <w:color w:val="0000FF"/>
      <w:u w:val="single"/>
    </w:rPr>
  </w:style>
  <w:style w:type="paragraph" w:styleId="BalloonText">
    <w:name w:val="Balloon Text"/>
    <w:basedOn w:val="Normal"/>
    <w:semiHidden/>
    <w:rsid w:val="009B76E6"/>
    <w:rPr>
      <w:rFonts w:ascii="Tahoma" w:hAnsi="Tahoma" w:cs="Tahoma"/>
      <w:sz w:val="16"/>
      <w:szCs w:val="16"/>
    </w:rPr>
  </w:style>
  <w:style w:type="paragraph" w:styleId="Header">
    <w:name w:val="header"/>
    <w:basedOn w:val="Normal"/>
    <w:rsid w:val="0080206F"/>
    <w:pPr>
      <w:tabs>
        <w:tab w:val="center" w:pos="4320"/>
        <w:tab w:val="right" w:pos="8640"/>
      </w:tabs>
    </w:pPr>
  </w:style>
  <w:style w:type="paragraph" w:styleId="Footer">
    <w:name w:val="footer"/>
    <w:basedOn w:val="Normal"/>
    <w:rsid w:val="0080206F"/>
    <w:pPr>
      <w:tabs>
        <w:tab w:val="center" w:pos="4320"/>
        <w:tab w:val="right" w:pos="8640"/>
      </w:tabs>
    </w:pPr>
  </w:style>
  <w:style w:type="character" w:customStyle="1" w:styleId="Heading1Char">
    <w:name w:val="Heading 1 Char"/>
    <w:basedOn w:val="DefaultParagraphFont"/>
    <w:link w:val="Heading1"/>
    <w:rsid w:val="007E4EDE"/>
    <w:rPr>
      <w:rFonts w:ascii="Arial" w:hAnsi="Arial" w:cs="Arial"/>
      <w:b/>
      <w:bCs/>
      <w:sz w:val="22"/>
      <w:szCs w:val="22"/>
      <w:lang w:val="en-US" w:eastAsia="en-US" w:bidi="ar-SA"/>
    </w:rPr>
  </w:style>
  <w:style w:type="table" w:styleId="TableGrid">
    <w:name w:val="Table Grid"/>
    <w:basedOn w:val="TableNormal"/>
    <w:rsid w:val="007E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E4E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net.ggc.scot.nhs.uk/Human%20Resources/Occupational%20Health/Documents/Appendix%2010%20-%20%20Instructions%20for%20Completing%20and%20Submitting%20an%20Electronic%20Referral.do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affnet.ggc.scot.nhs.uk/Human%20Resources/Occupational%20Health/Documents/Appendix%201%20%20-%20%20Combined%20Management%20Referral%20Report%20Form%20(2012).doc" TargetMode="External"/><Relationship Id="rId17" Type="http://schemas.openxmlformats.org/officeDocument/2006/relationships/hyperlink" Target="http://www.staffnet.ggc.scot.nhs.uk/Human%20Resources/Policies/Documents/Attendance%20Management%20Policy%20-%20Reviewed%20May2011.pdf" TargetMode="External"/><Relationship Id="rId2" Type="http://schemas.openxmlformats.org/officeDocument/2006/relationships/customXml" Target="../customXml/item2.xml"/><Relationship Id="rId16" Type="http://schemas.openxmlformats.org/officeDocument/2006/relationships/hyperlink" Target="http://www.staffnet.ggc.scot.nhs.uk/Partnerships/Greater%20Glasgow%20and%20Clyde%20Services/Attendance%20Management%20Toolkit/Documents/LongTermAbsenceFLOWCHART.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net.ggc.scot.nhs.uk/Human%20Resources/Occupational%20Health/Documents/Appendix%2010%20-%20%20Instructions%20for%20Completing%20and%20Submitting%20an%20Electronic%20Referral.doc" TargetMode="External"/><Relationship Id="rId5" Type="http://schemas.openxmlformats.org/officeDocument/2006/relationships/settings" Target="settings.xml"/><Relationship Id="rId15" Type="http://schemas.openxmlformats.org/officeDocument/2006/relationships/hyperlink" Target="http://www.staffnet.ggc.scot.nhs.uk/Partnerships/Greater%20Glasgow%20and%20Clyde%20Services/Attendance%20Management%20Toolkit/Documents/FrequentShortTermProblematicAbsenceFLOWCHART.doc" TargetMode="External"/><Relationship Id="rId10" Type="http://schemas.openxmlformats.org/officeDocument/2006/relationships/hyperlink" Target="http://www.staffnet.ggc.scot.nhs.uk/Human%20Resources/Occupational%20Health/Documents/Appendix%201%20%20-%20%20Combined%20Management%20Referral%20Report%20Form%20(2012).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affnet.ggc.scot.nhs.uk/Partnerships/Greater%20Glasgow%20and%20Clyde%20Services/Attendance%20Management%20Toolkit/Documents/FrequentShortTermProblematicAbsenceFLOWCHART.doc" TargetMode="External"/><Relationship Id="rId14" Type="http://schemas.openxmlformats.org/officeDocument/2006/relationships/hyperlink" Target="http://datix.acute.xglasgow.scot.nhs.uk/datix/liv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FF82C-1949-469F-8E8D-C7763F21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C416A5-F649-40D3-8194-521DE77CA3BC}">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Managing an employee who is absent due to an MSD</vt:lpstr>
    </vt:vector>
  </TitlesOfParts>
  <Company>NHSGG&amp;C</Company>
  <LinksUpToDate>false</LinksUpToDate>
  <CharactersWithSpaces>4342</CharactersWithSpaces>
  <SharedDoc>false</SharedDoc>
  <HLinks>
    <vt:vector size="54" baseType="variant">
      <vt:variant>
        <vt:i4>3014714</vt:i4>
      </vt:variant>
      <vt:variant>
        <vt:i4>24</vt:i4>
      </vt:variant>
      <vt:variant>
        <vt:i4>0</vt:i4>
      </vt:variant>
      <vt:variant>
        <vt:i4>5</vt:i4>
      </vt:variant>
      <vt:variant>
        <vt:lpwstr>http://www.staffnet.ggc.scot.nhs.uk/Human Resources/Policies/Documents/Attendance Management Policy - Reviewed May2011.pdf</vt:lpwstr>
      </vt:variant>
      <vt:variant>
        <vt:lpwstr/>
      </vt:variant>
      <vt:variant>
        <vt:i4>1703946</vt:i4>
      </vt:variant>
      <vt:variant>
        <vt:i4>21</vt:i4>
      </vt:variant>
      <vt:variant>
        <vt:i4>0</vt:i4>
      </vt:variant>
      <vt:variant>
        <vt:i4>5</vt:i4>
      </vt:variant>
      <vt:variant>
        <vt:lpwstr>http://www.staffnet.ggc.scot.nhs.uk/Partnerships/Greater Glasgow and Clyde Services/Attendance Management Toolkit/Documents/LongTermAbsenceFLOWCHART.doc</vt:lpwstr>
      </vt:variant>
      <vt:variant>
        <vt:lpwstr/>
      </vt:variant>
      <vt:variant>
        <vt:i4>1900555</vt:i4>
      </vt:variant>
      <vt:variant>
        <vt:i4>18</vt:i4>
      </vt:variant>
      <vt:variant>
        <vt:i4>0</vt:i4>
      </vt:variant>
      <vt:variant>
        <vt:i4>5</vt:i4>
      </vt:variant>
      <vt:variant>
        <vt:lpwstr>http://www.staffnet.ggc.scot.nhs.uk/Partnerships/Greater Glasgow and Clyde Services/Attendance Management Toolkit/Documents/FrequentShortTermProblematicAbsenceFLOWCHART.doc</vt:lpwstr>
      </vt:variant>
      <vt:variant>
        <vt:lpwstr/>
      </vt:variant>
      <vt:variant>
        <vt:i4>1703951</vt:i4>
      </vt:variant>
      <vt:variant>
        <vt:i4>15</vt:i4>
      </vt:variant>
      <vt:variant>
        <vt:i4>0</vt:i4>
      </vt:variant>
      <vt:variant>
        <vt:i4>5</vt:i4>
      </vt:variant>
      <vt:variant>
        <vt:lpwstr>http://datix.acute.xglasgow.scot.nhs.uk/datix/live/index.php</vt:lpwstr>
      </vt:variant>
      <vt:variant>
        <vt:lpwstr/>
      </vt:variant>
      <vt:variant>
        <vt:i4>2883687</vt:i4>
      </vt:variant>
      <vt:variant>
        <vt:i4>12</vt:i4>
      </vt:variant>
      <vt:variant>
        <vt:i4>0</vt:i4>
      </vt:variant>
      <vt:variant>
        <vt:i4>5</vt:i4>
      </vt:variant>
      <vt:variant>
        <vt:lpwstr>http://www.staffnet.ggc.scot.nhs.uk/Human Resources/Occupational Health/Documents/Appendix 10 -  Instructions for Completing and Submitting an Electronic Referral.doc</vt:lpwstr>
      </vt:variant>
      <vt:variant>
        <vt:lpwstr/>
      </vt:variant>
      <vt:variant>
        <vt:i4>5177344</vt:i4>
      </vt:variant>
      <vt:variant>
        <vt:i4>9</vt:i4>
      </vt:variant>
      <vt:variant>
        <vt:i4>0</vt:i4>
      </vt:variant>
      <vt:variant>
        <vt:i4>5</vt:i4>
      </vt:variant>
      <vt:variant>
        <vt:lpwstr>http://www.staffnet.ggc.scot.nhs.uk/Human Resources/Occupational Health/Documents/Appendix 1  -  Combined Management Referral Report Form (2012).doc</vt:lpwstr>
      </vt:variant>
      <vt:variant>
        <vt:lpwstr/>
      </vt:variant>
      <vt:variant>
        <vt:i4>2883687</vt:i4>
      </vt:variant>
      <vt:variant>
        <vt:i4>6</vt:i4>
      </vt:variant>
      <vt:variant>
        <vt:i4>0</vt:i4>
      </vt:variant>
      <vt:variant>
        <vt:i4>5</vt:i4>
      </vt:variant>
      <vt:variant>
        <vt:lpwstr>http://www.staffnet.ggc.scot.nhs.uk/Human Resources/Occupational Health/Documents/Appendix 10 -  Instructions for Completing and Submitting an Electronic Referral.doc</vt:lpwstr>
      </vt:variant>
      <vt:variant>
        <vt:lpwstr/>
      </vt:variant>
      <vt:variant>
        <vt:i4>5177344</vt:i4>
      </vt:variant>
      <vt:variant>
        <vt:i4>3</vt:i4>
      </vt:variant>
      <vt:variant>
        <vt:i4>0</vt:i4>
      </vt:variant>
      <vt:variant>
        <vt:i4>5</vt:i4>
      </vt:variant>
      <vt:variant>
        <vt:lpwstr>http://www.staffnet.ggc.scot.nhs.uk/Human Resources/Occupational Health/Documents/Appendix 1  -  Combined Management Referral Report Form (2012).doc</vt:lpwstr>
      </vt:variant>
      <vt:variant>
        <vt:lpwstr/>
      </vt:variant>
      <vt:variant>
        <vt:i4>1900555</vt:i4>
      </vt:variant>
      <vt:variant>
        <vt:i4>0</vt:i4>
      </vt:variant>
      <vt:variant>
        <vt:i4>0</vt:i4>
      </vt:variant>
      <vt:variant>
        <vt:i4>5</vt:i4>
      </vt:variant>
      <vt:variant>
        <vt:lpwstr>http://www.staffnet.ggc.scot.nhs.uk/Partnerships/Greater Glasgow and Clyde Services/Attendance Management Toolkit/Documents/FrequentShortTermProblematicAbsenceFLOWCHART.doc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 employee who is absent due to an MSD</dc:title>
  <dc:subject/>
  <dc:creator>raeburnc</dc:creator>
  <cp:keywords/>
  <dc:description/>
  <cp:lastModifiedBy>Clark, Andrew</cp:lastModifiedBy>
  <cp:revision>2</cp:revision>
  <dcterms:created xsi:type="dcterms:W3CDTF">2023-03-07T15:22:00Z</dcterms:created>
  <dcterms:modified xsi:type="dcterms:W3CDTF">2023-03-07T15:22:00Z</dcterms:modified>
</cp:coreProperties>
</file>