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CD985" w14:textId="4A5CAC16" w:rsidR="00134799" w:rsidRPr="00883958" w:rsidRDefault="00883958" w:rsidP="003D07A7">
      <w:pPr>
        <w:ind w:left="567" w:right="567"/>
        <w:jc w:val="center"/>
        <w:rPr>
          <w:rFonts w:ascii="Aptos" w:hAnsi="Aptos" w:cstheme="minorHAnsi"/>
          <w:b/>
          <w:sz w:val="44"/>
          <w:szCs w:val="44"/>
        </w:rPr>
      </w:pPr>
      <w:bookmarkStart w:id="0" w:name="_Hlk112185206"/>
      <w:bookmarkStart w:id="1" w:name="_GoBack"/>
      <w:bookmarkEnd w:id="1"/>
      <w:r w:rsidRPr="00883958">
        <w:rPr>
          <w:rFonts w:ascii="Aptos" w:hAnsi="Aptos" w:cstheme="minorHAnsi"/>
          <w:noProof/>
          <w:lang w:eastAsia="en-GB"/>
        </w:rPr>
        <w:drawing>
          <wp:anchor distT="0" distB="0" distL="114300" distR="114300" simplePos="0" relativeHeight="251658240" behindDoc="0" locked="0" layoutInCell="1" allowOverlap="1" wp14:anchorId="182ED753" wp14:editId="060CB5E8">
            <wp:simplePos x="0" y="0"/>
            <wp:positionH relativeFrom="margin">
              <wp:posOffset>5525588</wp:posOffset>
            </wp:positionH>
            <wp:positionV relativeFrom="paragraph">
              <wp:posOffset>-400685</wp:posOffset>
            </wp:positionV>
            <wp:extent cx="1212397" cy="7715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U logo.jpg"/>
                    <pic:cNvPicPr/>
                  </pic:nvPicPr>
                  <pic:blipFill>
                    <a:blip r:embed="rId9">
                      <a:extLst>
                        <a:ext uri="{28A0092B-C50C-407E-A947-70E740481C1C}">
                          <a14:useLocalDpi xmlns:a14="http://schemas.microsoft.com/office/drawing/2010/main" val="0"/>
                        </a:ext>
                      </a:extLst>
                    </a:blip>
                    <a:stretch>
                      <a:fillRect/>
                    </a:stretch>
                  </pic:blipFill>
                  <pic:spPr>
                    <a:xfrm>
                      <a:off x="0" y="0"/>
                      <a:ext cx="1214350" cy="772768"/>
                    </a:xfrm>
                    <a:prstGeom prst="rect">
                      <a:avLst/>
                    </a:prstGeom>
                  </pic:spPr>
                </pic:pic>
              </a:graphicData>
            </a:graphic>
            <wp14:sizeRelH relativeFrom="page">
              <wp14:pctWidth>0</wp14:pctWidth>
            </wp14:sizeRelH>
            <wp14:sizeRelV relativeFrom="page">
              <wp14:pctHeight>0</wp14:pctHeight>
            </wp14:sizeRelV>
          </wp:anchor>
        </w:drawing>
      </w:r>
    </w:p>
    <w:p w14:paraId="6332D6F6" w14:textId="6289B23A" w:rsidR="00134799" w:rsidRPr="00883958" w:rsidRDefault="00891441" w:rsidP="2E5E7CCA">
      <w:pPr>
        <w:spacing w:after="120"/>
        <w:ind w:left="567" w:right="567"/>
        <w:jc w:val="center"/>
        <w:rPr>
          <w:rFonts w:ascii="Aptos" w:hAnsi="Aptos" w:cstheme="minorHAnsi"/>
          <w:b/>
          <w:bCs/>
          <w:sz w:val="44"/>
          <w:szCs w:val="44"/>
        </w:rPr>
      </w:pPr>
      <w:r w:rsidRPr="00883958">
        <w:rPr>
          <w:rFonts w:ascii="Aptos" w:hAnsi="Aptos" w:cstheme="minorHAnsi"/>
          <w:b/>
          <w:bCs/>
          <w:sz w:val="44"/>
          <w:szCs w:val="44"/>
        </w:rPr>
        <w:t xml:space="preserve">NHS </w:t>
      </w:r>
      <w:r w:rsidR="00F776BD" w:rsidRPr="00883958">
        <w:rPr>
          <w:rFonts w:ascii="Aptos" w:hAnsi="Aptos" w:cstheme="minorHAnsi"/>
          <w:b/>
          <w:bCs/>
          <w:sz w:val="44"/>
          <w:szCs w:val="44"/>
        </w:rPr>
        <w:t>Specialties</w:t>
      </w:r>
      <w:r w:rsidR="00883958">
        <w:rPr>
          <w:rFonts w:ascii="Aptos" w:hAnsi="Aptos" w:cstheme="minorHAnsi"/>
          <w:b/>
          <w:bCs/>
          <w:sz w:val="44"/>
          <w:szCs w:val="44"/>
        </w:rPr>
        <w:t xml:space="preserve"> – Paramedic</w:t>
      </w:r>
      <w:r w:rsidR="00072487" w:rsidRPr="00883958">
        <w:rPr>
          <w:rFonts w:ascii="Aptos" w:hAnsi="Aptos" w:cstheme="minorHAnsi"/>
          <w:b/>
          <w:bCs/>
          <w:sz w:val="44"/>
          <w:szCs w:val="44"/>
        </w:rPr>
        <w:t xml:space="preserve"> Placement</w:t>
      </w:r>
      <w:r w:rsidRPr="00883958">
        <w:rPr>
          <w:rFonts w:ascii="Aptos" w:hAnsi="Aptos" w:cstheme="minorHAnsi"/>
          <w:b/>
          <w:bCs/>
          <w:sz w:val="44"/>
          <w:szCs w:val="44"/>
        </w:rPr>
        <w:t>s</w:t>
      </w:r>
    </w:p>
    <w:p w14:paraId="1F4E75BC" w14:textId="77777777" w:rsidR="00ED45CB" w:rsidRPr="00883958" w:rsidRDefault="00ED45CB" w:rsidP="00692870">
      <w:pPr>
        <w:pStyle w:val="Heading1"/>
        <w:spacing w:before="360" w:after="120"/>
        <w:ind w:right="567"/>
        <w:rPr>
          <w:rFonts w:ascii="Aptos" w:hAnsi="Aptos" w:cstheme="minorHAnsi"/>
          <w:sz w:val="36"/>
          <w:szCs w:val="36"/>
        </w:rPr>
      </w:pPr>
      <w:bookmarkStart w:id="2" w:name="_Hlk111797847"/>
      <w:r w:rsidRPr="00883958">
        <w:rPr>
          <w:rFonts w:ascii="Aptos" w:hAnsi="Aptos" w:cstheme="minorHAnsi"/>
          <w:sz w:val="36"/>
          <w:szCs w:val="36"/>
        </w:rPr>
        <w:t>Why here?</w:t>
      </w:r>
    </w:p>
    <w:bookmarkEnd w:id="2"/>
    <w:p w14:paraId="42951266" w14:textId="77777777" w:rsidR="00187EA9" w:rsidRPr="00CC5186" w:rsidRDefault="00187EA9" w:rsidP="00187EA9">
      <w:pPr>
        <w:ind w:right="567"/>
        <w:rPr>
          <w:rFonts w:ascii="Aptos" w:hAnsi="Aptos"/>
        </w:rPr>
      </w:pPr>
      <w:r w:rsidRPr="00CC5186">
        <w:rPr>
          <w:rFonts w:ascii="Aptos" w:hAnsi="Aptos"/>
        </w:rPr>
        <w:t xml:space="preserve">Paramedics attend patients with a wide variety of needs. They have an important role in unnecessary hospital admission avoidance through treating and discharging patients at home or referral to alternative care pathways. </w:t>
      </w:r>
    </w:p>
    <w:p w14:paraId="6BEF9D62" w14:textId="77777777" w:rsidR="00187EA9" w:rsidRPr="00CC5186" w:rsidRDefault="00187EA9" w:rsidP="00187EA9">
      <w:pPr>
        <w:ind w:right="567"/>
        <w:rPr>
          <w:rFonts w:ascii="Aptos" w:hAnsi="Aptos"/>
        </w:rPr>
      </w:pPr>
      <w:r w:rsidRPr="00CC5186">
        <w:rPr>
          <w:rFonts w:ascii="Aptos" w:hAnsi="Aptos"/>
        </w:rPr>
        <w:t xml:space="preserve">The profession in Scotland is also moving towards alignment with the rest of the UK in developing a greater presence in settings outside of prehospital emergency care including primary care, in-hospital, and community care environments as well as education, governance and public health. </w:t>
      </w:r>
    </w:p>
    <w:p w14:paraId="220A80F9" w14:textId="627599A2" w:rsidR="00574CB2" w:rsidRPr="00187EA9" w:rsidRDefault="00187EA9" w:rsidP="00187EA9">
      <w:pPr>
        <w:ind w:right="403"/>
        <w:rPr>
          <w:rFonts w:ascii="Aptos" w:hAnsi="Aptos" w:cstheme="minorHAnsi"/>
        </w:rPr>
      </w:pPr>
      <w:r w:rsidRPr="00CC5186">
        <w:rPr>
          <w:rFonts w:ascii="Aptos" w:hAnsi="Aptos"/>
        </w:rPr>
        <w:t xml:space="preserve">With the drive towards a connected whole system approach to improving care for all, we want to prepare our </w:t>
      </w:r>
      <w:r w:rsidRPr="00187EA9">
        <w:rPr>
          <w:rFonts w:ascii="Aptos" w:hAnsi="Aptos"/>
        </w:rPr>
        <w:t>students for their responsibilities through engaging with diverse learning experiences in practice settings. By placing paramedic students in a variety of care environments, they can achieve pertinent learning outcomes associated with early development of the holistic healthcare practitioner, such as</w:t>
      </w:r>
      <w:r w:rsidR="00574CB2" w:rsidRPr="00187EA9">
        <w:rPr>
          <w:rFonts w:ascii="Aptos" w:hAnsi="Aptos" w:cstheme="minorHAnsi"/>
        </w:rPr>
        <w:t>:</w:t>
      </w:r>
    </w:p>
    <w:p w14:paraId="21FD70AD" w14:textId="0D05C9AE" w:rsidR="00AF375D" w:rsidRPr="00AF375D" w:rsidRDefault="00AF375D" w:rsidP="00E55436">
      <w:pPr>
        <w:pStyle w:val="ListParagraph"/>
        <w:numPr>
          <w:ilvl w:val="0"/>
          <w:numId w:val="18"/>
        </w:numPr>
        <w:ind w:left="714" w:right="737" w:hanging="357"/>
        <w:contextualSpacing w:val="0"/>
      </w:pPr>
      <w:r w:rsidRPr="00AB0EA3">
        <w:rPr>
          <w:b/>
        </w:rPr>
        <w:t>Exposure to Diverse Patient Groups &amp; Settings</w:t>
      </w:r>
      <w:r>
        <w:t xml:space="preserve"> -</w:t>
      </w:r>
      <w:r w:rsidRPr="00AF375D">
        <w:t xml:space="preserve"> Gain experience with a range of clinical presentations across primary, secondary, tertiary, and community care.</w:t>
      </w:r>
    </w:p>
    <w:p w14:paraId="12D87424" w14:textId="01885763" w:rsidR="00AF375D" w:rsidRPr="00AF375D" w:rsidRDefault="00AF375D" w:rsidP="00E55436">
      <w:pPr>
        <w:pStyle w:val="ListParagraph"/>
        <w:numPr>
          <w:ilvl w:val="0"/>
          <w:numId w:val="18"/>
        </w:numPr>
        <w:ind w:left="714" w:right="737" w:hanging="357"/>
        <w:contextualSpacing w:val="0"/>
      </w:pPr>
      <w:r w:rsidRPr="00AB0EA3">
        <w:rPr>
          <w:b/>
        </w:rPr>
        <w:t>Develop Clinical &amp; Assessment Skills</w:t>
      </w:r>
      <w:r>
        <w:t xml:space="preserve"> -</w:t>
      </w:r>
      <w:r w:rsidRPr="00AF375D">
        <w:t xml:space="preserve"> Enhance understanding of patient assessment, treatment, and management within different healthcare environments.</w:t>
      </w:r>
    </w:p>
    <w:p w14:paraId="14EC5402" w14:textId="1D239795" w:rsidR="00AF375D" w:rsidRPr="00AF375D" w:rsidRDefault="00AF375D" w:rsidP="00E55436">
      <w:pPr>
        <w:pStyle w:val="ListParagraph"/>
        <w:numPr>
          <w:ilvl w:val="0"/>
          <w:numId w:val="18"/>
        </w:numPr>
        <w:ind w:left="714" w:right="737" w:hanging="357"/>
        <w:contextualSpacing w:val="0"/>
      </w:pPr>
      <w:r w:rsidRPr="00AB0EA3">
        <w:rPr>
          <w:b/>
        </w:rPr>
        <w:t>Understand NHS Services &amp; Patient Journeys -</w:t>
      </w:r>
      <w:r w:rsidRPr="00AF375D">
        <w:t xml:space="preserve"> Build knowledge of healthcare pathways, service complexity, and the multidisciplinary approach to care.</w:t>
      </w:r>
    </w:p>
    <w:p w14:paraId="495F9CC7" w14:textId="2EC1322D" w:rsidR="00AF375D" w:rsidRPr="00AF375D" w:rsidRDefault="00AF375D" w:rsidP="00E55436">
      <w:pPr>
        <w:pStyle w:val="ListParagraph"/>
        <w:numPr>
          <w:ilvl w:val="0"/>
          <w:numId w:val="18"/>
        </w:numPr>
        <w:ind w:left="714" w:right="737" w:hanging="357"/>
        <w:contextualSpacing w:val="0"/>
      </w:pPr>
      <w:r w:rsidRPr="00AB0EA3">
        <w:rPr>
          <w:b/>
        </w:rPr>
        <w:t xml:space="preserve">Strengthen Communication &amp; Interpersonal Skills </w:t>
      </w:r>
      <w:r w:rsidR="00AB0EA3" w:rsidRPr="00AB0EA3">
        <w:rPr>
          <w:b/>
        </w:rPr>
        <w:t>-</w:t>
      </w:r>
      <w:r w:rsidRPr="00AF375D">
        <w:t xml:space="preserve"> Apply and adapt communication strategies to engage effectively with patients, families, carers, and healthcare teams.</w:t>
      </w:r>
    </w:p>
    <w:p w14:paraId="740E6624" w14:textId="6936D1AE" w:rsidR="00AF375D" w:rsidRPr="00AF375D" w:rsidRDefault="00AF375D" w:rsidP="00E55436">
      <w:pPr>
        <w:pStyle w:val="ListParagraph"/>
        <w:numPr>
          <w:ilvl w:val="0"/>
          <w:numId w:val="18"/>
        </w:numPr>
        <w:ind w:left="714" w:right="737" w:hanging="357"/>
        <w:contextualSpacing w:val="0"/>
      </w:pPr>
      <w:r w:rsidRPr="00AB0EA3">
        <w:rPr>
          <w:b/>
        </w:rPr>
        <w:t>Recognise the Importance of Person-Centred &amp; Collaborative Care</w:t>
      </w:r>
      <w:r w:rsidR="00AB0EA3" w:rsidRPr="00AB0EA3">
        <w:rPr>
          <w:b/>
        </w:rPr>
        <w:t xml:space="preserve"> -</w:t>
      </w:r>
      <w:r w:rsidRPr="00AF375D">
        <w:t xml:space="preserve"> Reflect on interprofessional teamwork, ethical considerations, and strategies to uphold patient autonomy, dignity, and quality of life.</w:t>
      </w:r>
    </w:p>
    <w:p w14:paraId="6C40D2BE" w14:textId="3D74760F" w:rsidR="00ED45CB" w:rsidRPr="00883958" w:rsidRDefault="00ED45CB" w:rsidP="00692870">
      <w:pPr>
        <w:pStyle w:val="Heading1"/>
        <w:spacing w:before="480" w:after="120"/>
        <w:ind w:right="567"/>
        <w:rPr>
          <w:rFonts w:ascii="Aptos" w:hAnsi="Aptos" w:cstheme="minorHAnsi"/>
          <w:sz w:val="36"/>
          <w:szCs w:val="36"/>
        </w:rPr>
      </w:pPr>
      <w:r w:rsidRPr="00883958">
        <w:rPr>
          <w:rFonts w:ascii="Aptos" w:hAnsi="Aptos" w:cstheme="minorHAnsi"/>
          <w:sz w:val="36"/>
          <w:szCs w:val="36"/>
        </w:rPr>
        <w:t xml:space="preserve">What’s in it for </w:t>
      </w:r>
      <w:r w:rsidR="00D306D3" w:rsidRPr="00883958">
        <w:rPr>
          <w:rFonts w:ascii="Aptos" w:hAnsi="Aptos" w:cstheme="minorHAnsi"/>
          <w:sz w:val="36"/>
          <w:szCs w:val="36"/>
        </w:rPr>
        <w:t>placement providers</w:t>
      </w:r>
      <w:r w:rsidRPr="00883958">
        <w:rPr>
          <w:rFonts w:ascii="Aptos" w:hAnsi="Aptos" w:cstheme="minorHAnsi"/>
          <w:sz w:val="36"/>
          <w:szCs w:val="36"/>
        </w:rPr>
        <w:t>?</w:t>
      </w:r>
    </w:p>
    <w:p w14:paraId="0DE1BEF5" w14:textId="77777777" w:rsidR="00ED45CB" w:rsidRPr="00187EA9" w:rsidRDefault="00ED45CB" w:rsidP="00273CCD">
      <w:pPr>
        <w:ind w:right="567"/>
        <w:rPr>
          <w:rFonts w:ascii="Aptos" w:hAnsi="Aptos" w:cstheme="minorHAnsi"/>
          <w:szCs w:val="20"/>
        </w:rPr>
      </w:pPr>
      <w:r w:rsidRPr="00187EA9">
        <w:rPr>
          <w:rFonts w:ascii="Aptos" w:hAnsi="Aptos" w:cstheme="minorHAnsi"/>
          <w:szCs w:val="20"/>
        </w:rPr>
        <w:t>Supporting paramedic students on placement can also confer a wide variety of benefits to the environment where they are placed. These benefits can include:</w:t>
      </w:r>
    </w:p>
    <w:p w14:paraId="28678144" w14:textId="77777777" w:rsidR="00ED45CB" w:rsidRPr="00187EA9" w:rsidRDefault="00ED45CB" w:rsidP="00ED45CB">
      <w:pPr>
        <w:pStyle w:val="ListParagraph"/>
        <w:numPr>
          <w:ilvl w:val="0"/>
          <w:numId w:val="10"/>
        </w:numPr>
        <w:ind w:left="1018" w:right="567"/>
        <w:rPr>
          <w:rFonts w:ascii="Aptos" w:hAnsi="Aptos" w:cstheme="minorHAnsi"/>
          <w:szCs w:val="20"/>
        </w:rPr>
      </w:pPr>
      <w:r w:rsidRPr="00187EA9">
        <w:rPr>
          <w:rFonts w:ascii="Aptos" w:hAnsi="Aptos" w:cstheme="minorHAnsi"/>
          <w:szCs w:val="20"/>
        </w:rPr>
        <w:t>Staff development, including facilitating student learning and organisation of learning opportunities</w:t>
      </w:r>
    </w:p>
    <w:p w14:paraId="25D6D363" w14:textId="77777777" w:rsidR="00ED45CB" w:rsidRPr="00187EA9" w:rsidRDefault="00ED45CB" w:rsidP="00ED45CB">
      <w:pPr>
        <w:pStyle w:val="ListParagraph"/>
        <w:numPr>
          <w:ilvl w:val="0"/>
          <w:numId w:val="10"/>
        </w:numPr>
        <w:ind w:left="1018" w:right="567"/>
        <w:rPr>
          <w:rFonts w:ascii="Aptos" w:hAnsi="Aptos" w:cstheme="minorHAnsi"/>
          <w:szCs w:val="20"/>
        </w:rPr>
      </w:pPr>
      <w:r w:rsidRPr="00187EA9">
        <w:rPr>
          <w:rFonts w:ascii="Aptos" w:hAnsi="Aptos" w:cstheme="minorHAnsi"/>
          <w:szCs w:val="20"/>
        </w:rPr>
        <w:t>Increased mutual awareness of scope of practice and professional processes</w:t>
      </w:r>
    </w:p>
    <w:p w14:paraId="3D7853F5" w14:textId="77777777" w:rsidR="00ED45CB" w:rsidRPr="00187EA9" w:rsidRDefault="00ED45CB" w:rsidP="00ED45CB">
      <w:pPr>
        <w:pStyle w:val="ListParagraph"/>
        <w:numPr>
          <w:ilvl w:val="0"/>
          <w:numId w:val="10"/>
        </w:numPr>
        <w:ind w:left="1018" w:right="567"/>
        <w:rPr>
          <w:rFonts w:ascii="Aptos" w:hAnsi="Aptos" w:cstheme="minorHAnsi"/>
          <w:szCs w:val="20"/>
        </w:rPr>
      </w:pPr>
      <w:r w:rsidRPr="00187EA9">
        <w:rPr>
          <w:rFonts w:ascii="Aptos" w:hAnsi="Aptos" w:cstheme="minorHAnsi"/>
          <w:szCs w:val="20"/>
        </w:rPr>
        <w:t>Clearer shared expectations of patient care provision</w:t>
      </w:r>
    </w:p>
    <w:p w14:paraId="4C39B36C" w14:textId="77777777" w:rsidR="00ED45CB" w:rsidRPr="00187EA9" w:rsidRDefault="00ED45CB" w:rsidP="00ED45CB">
      <w:pPr>
        <w:pStyle w:val="ListParagraph"/>
        <w:numPr>
          <w:ilvl w:val="0"/>
          <w:numId w:val="10"/>
        </w:numPr>
        <w:ind w:left="1018" w:right="567"/>
        <w:rPr>
          <w:rFonts w:ascii="Aptos" w:hAnsi="Aptos" w:cstheme="minorHAnsi"/>
          <w:szCs w:val="20"/>
        </w:rPr>
      </w:pPr>
      <w:r w:rsidRPr="00187EA9">
        <w:rPr>
          <w:rFonts w:ascii="Aptos" w:hAnsi="Aptos" w:cstheme="minorHAnsi"/>
          <w:szCs w:val="20"/>
        </w:rPr>
        <w:t>More efficient patient care provision through understanding of available services</w:t>
      </w:r>
    </w:p>
    <w:p w14:paraId="5CA512C5" w14:textId="77777777" w:rsidR="00ED45CB" w:rsidRPr="00187EA9" w:rsidRDefault="00ED45CB" w:rsidP="00ED45CB">
      <w:pPr>
        <w:pStyle w:val="ListParagraph"/>
        <w:numPr>
          <w:ilvl w:val="0"/>
          <w:numId w:val="10"/>
        </w:numPr>
        <w:ind w:left="1018" w:right="567"/>
        <w:rPr>
          <w:rFonts w:ascii="Aptos" w:hAnsi="Aptos" w:cstheme="minorHAnsi"/>
          <w:sz w:val="20"/>
          <w:szCs w:val="20"/>
        </w:rPr>
      </w:pPr>
      <w:r w:rsidRPr="00187EA9">
        <w:rPr>
          <w:rFonts w:ascii="Aptos" w:hAnsi="Aptos" w:cstheme="minorHAnsi"/>
          <w:szCs w:val="20"/>
        </w:rPr>
        <w:t>Establishing links and building future working relationships</w:t>
      </w:r>
    </w:p>
    <w:p w14:paraId="52AF13A4" w14:textId="77777777" w:rsidR="009B49AE" w:rsidRPr="00883958" w:rsidRDefault="009B49AE" w:rsidP="00B0167E">
      <w:pPr>
        <w:pStyle w:val="Heading1"/>
        <w:spacing w:before="360" w:after="360"/>
        <w:ind w:left="284" w:right="567"/>
        <w:rPr>
          <w:rFonts w:ascii="Aptos" w:hAnsi="Aptos" w:cstheme="minorHAnsi"/>
          <w:sz w:val="36"/>
        </w:rPr>
        <w:sectPr w:rsidR="009B49AE" w:rsidRPr="00883958" w:rsidSect="005E4051">
          <w:pgSz w:w="11906" w:h="16838"/>
          <w:pgMar w:top="1021" w:right="907" w:bottom="1021" w:left="907" w:header="709" w:footer="709" w:gutter="0"/>
          <w:cols w:space="708"/>
          <w:docGrid w:linePitch="360"/>
        </w:sectPr>
      </w:pPr>
    </w:p>
    <w:p w14:paraId="54EAE744" w14:textId="3CB3A433" w:rsidR="007A56D8" w:rsidRPr="00883958" w:rsidRDefault="007A56D8" w:rsidP="00931F47">
      <w:pPr>
        <w:pStyle w:val="Heading1"/>
        <w:spacing w:before="0" w:after="120"/>
        <w:ind w:left="567" w:right="567"/>
        <w:rPr>
          <w:rFonts w:ascii="Aptos" w:hAnsi="Aptos" w:cstheme="minorHAnsi"/>
          <w:sz w:val="36"/>
        </w:rPr>
      </w:pPr>
      <w:r w:rsidRPr="00883958">
        <w:rPr>
          <w:rFonts w:ascii="Aptos" w:hAnsi="Aptos" w:cstheme="minorHAnsi"/>
          <w:sz w:val="36"/>
        </w:rPr>
        <w:lastRenderedPageBreak/>
        <w:t>What</w:t>
      </w:r>
      <w:r w:rsidR="00930BD0" w:rsidRPr="00883958">
        <w:rPr>
          <w:rFonts w:ascii="Aptos" w:hAnsi="Aptos" w:cstheme="minorHAnsi"/>
          <w:sz w:val="36"/>
        </w:rPr>
        <w:t xml:space="preserve"> can </w:t>
      </w:r>
      <w:r w:rsidR="00717CB2" w:rsidRPr="00883958">
        <w:rPr>
          <w:rFonts w:ascii="Aptos" w:hAnsi="Aptos" w:cstheme="minorHAnsi"/>
          <w:sz w:val="36"/>
        </w:rPr>
        <w:t>students</w:t>
      </w:r>
      <w:r w:rsidR="00930BD0" w:rsidRPr="00883958">
        <w:rPr>
          <w:rFonts w:ascii="Aptos" w:hAnsi="Aptos" w:cstheme="minorHAnsi"/>
          <w:sz w:val="36"/>
        </w:rPr>
        <w:t xml:space="preserve"> do</w:t>
      </w:r>
      <w:r w:rsidRPr="00883958">
        <w:rPr>
          <w:rFonts w:ascii="Aptos" w:hAnsi="Aptos" w:cstheme="minorHAnsi"/>
          <w:sz w:val="36"/>
        </w:rPr>
        <w:t>?</w:t>
      </w:r>
    </w:p>
    <w:p w14:paraId="4F8C4BF4" w14:textId="1CCE0235" w:rsidR="00C55EA9" w:rsidRPr="00187EA9" w:rsidRDefault="007A56D8" w:rsidP="00844EF2">
      <w:pPr>
        <w:spacing w:after="120"/>
        <w:ind w:left="567" w:right="567"/>
        <w:rPr>
          <w:rFonts w:ascii="Aptos" w:hAnsi="Aptos" w:cstheme="minorHAnsi"/>
        </w:rPr>
      </w:pPr>
      <w:r w:rsidRPr="00187EA9">
        <w:rPr>
          <w:rFonts w:ascii="Aptos" w:hAnsi="Aptos" w:cstheme="minorHAnsi"/>
        </w:rPr>
        <w:t xml:space="preserve">We are often asked what students can actually do in the </w:t>
      </w:r>
      <w:r w:rsidR="00DA2479" w:rsidRPr="00187EA9">
        <w:rPr>
          <w:rFonts w:ascii="Aptos" w:hAnsi="Aptos" w:cstheme="minorHAnsi"/>
        </w:rPr>
        <w:t xml:space="preserve">cross sector </w:t>
      </w:r>
      <w:r w:rsidRPr="00187EA9">
        <w:rPr>
          <w:rFonts w:ascii="Aptos" w:hAnsi="Aptos" w:cstheme="minorHAnsi"/>
        </w:rPr>
        <w:t>placement environment</w:t>
      </w:r>
      <w:r w:rsidR="00BD5BD4" w:rsidRPr="00187EA9">
        <w:rPr>
          <w:rFonts w:ascii="Aptos" w:hAnsi="Aptos" w:cstheme="minorHAnsi"/>
        </w:rPr>
        <w:t>. B</w:t>
      </w:r>
      <w:r w:rsidRPr="00187EA9">
        <w:rPr>
          <w:rFonts w:ascii="Aptos" w:hAnsi="Aptos" w:cstheme="minorHAnsi"/>
        </w:rPr>
        <w:t>elow are some suggestions of how students can be engaged and active learners to achieve the</w:t>
      </w:r>
      <w:r w:rsidR="005A0BF9" w:rsidRPr="00187EA9">
        <w:rPr>
          <w:rFonts w:ascii="Aptos" w:hAnsi="Aptos" w:cstheme="minorHAnsi"/>
        </w:rPr>
        <w:t>ir</w:t>
      </w:r>
      <w:r w:rsidRPr="00187EA9">
        <w:rPr>
          <w:rFonts w:ascii="Aptos" w:hAnsi="Aptos" w:cstheme="minorHAnsi"/>
        </w:rPr>
        <w:t xml:space="preserve"> learning outcomes</w:t>
      </w:r>
      <w:r w:rsidR="00D70CFB" w:rsidRPr="00187EA9">
        <w:rPr>
          <w:rFonts w:ascii="Aptos" w:hAnsi="Aptos" w:cstheme="minorHAnsi"/>
        </w:rPr>
        <w:t>:</w:t>
      </w:r>
    </w:p>
    <w:p w14:paraId="26A2A56F" w14:textId="77777777" w:rsidR="000A4BC8" w:rsidRPr="000A4BC8" w:rsidRDefault="00561575" w:rsidP="004E1630">
      <w:pPr>
        <w:pStyle w:val="ListParagraph"/>
        <w:spacing w:before="240" w:after="60"/>
        <w:ind w:left="567" w:right="397"/>
        <w:contextualSpacing w:val="0"/>
        <w:rPr>
          <w:rFonts w:ascii="Aptos" w:hAnsi="Aptos"/>
        </w:rPr>
      </w:pPr>
      <w:r w:rsidRPr="00561575">
        <w:rPr>
          <w:rFonts w:ascii="Aptos" w:hAnsi="Aptos"/>
          <w:b/>
        </w:rPr>
        <w:t>Patient Case Studies</w:t>
      </w:r>
    </w:p>
    <w:p w14:paraId="46313D91"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Work with staff, patients, and families to build a holistic understanding of individuals, considering their pre-care life, medical needs, and social circumstances</w:t>
      </w:r>
    </w:p>
    <w:p w14:paraId="5FCEE85E" w14:textId="0227A6A8" w:rsidR="00561575" w:rsidRPr="00561575" w:rsidRDefault="00561575" w:rsidP="00844EF2">
      <w:pPr>
        <w:pStyle w:val="ListParagraph"/>
        <w:numPr>
          <w:ilvl w:val="1"/>
          <w:numId w:val="17"/>
        </w:numPr>
        <w:spacing w:after="0"/>
        <w:ind w:left="1210" w:right="397"/>
        <w:contextualSpacing w:val="0"/>
        <w:rPr>
          <w:rFonts w:ascii="Aptos" w:hAnsi="Aptos"/>
        </w:rPr>
      </w:pPr>
      <w:r w:rsidRPr="00561575">
        <w:rPr>
          <w:rFonts w:ascii="Aptos" w:hAnsi="Aptos"/>
        </w:rPr>
        <w:t>Engage in discussions about complex co-morbidities, specialist conditions, and how social factors impact health outcomes.</w:t>
      </w:r>
    </w:p>
    <w:p w14:paraId="140F45F9" w14:textId="1A7EB940" w:rsidR="000A4BC8" w:rsidRDefault="00561575" w:rsidP="00844EF2">
      <w:pPr>
        <w:pStyle w:val="ListParagraph"/>
        <w:spacing w:before="240" w:after="60"/>
        <w:ind w:left="567" w:right="397"/>
        <w:contextualSpacing w:val="0"/>
        <w:rPr>
          <w:rFonts w:ascii="Aptos" w:hAnsi="Aptos"/>
        </w:rPr>
      </w:pPr>
      <w:r w:rsidRPr="00561575">
        <w:rPr>
          <w:rFonts w:ascii="Aptos" w:hAnsi="Aptos"/>
          <w:b/>
        </w:rPr>
        <w:t>Inter-Professional Team Observation</w:t>
      </w:r>
    </w:p>
    <w:p w14:paraId="6C2BAA6E"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Shadow different professionals to understand their roles in person-centred care. </w:t>
      </w:r>
    </w:p>
    <w:p w14:paraId="5421586B"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Observe multidisciplinary meetings to see how decisions are made and explore available health and social care services, including their aims and referral pathways. </w:t>
      </w:r>
    </w:p>
    <w:p w14:paraId="1FB545ED" w14:textId="623631CC" w:rsidR="00561575" w:rsidRPr="00561575" w:rsidRDefault="00561575" w:rsidP="00844EF2">
      <w:pPr>
        <w:pStyle w:val="ListParagraph"/>
        <w:numPr>
          <w:ilvl w:val="1"/>
          <w:numId w:val="17"/>
        </w:numPr>
        <w:spacing w:after="120"/>
        <w:ind w:left="1210" w:right="397"/>
        <w:contextualSpacing w:val="0"/>
        <w:rPr>
          <w:rFonts w:ascii="Aptos" w:hAnsi="Aptos"/>
        </w:rPr>
      </w:pPr>
      <w:r w:rsidRPr="00561575">
        <w:rPr>
          <w:rFonts w:ascii="Aptos" w:hAnsi="Aptos"/>
        </w:rPr>
        <w:t>Participate in situational case studies to assess patient needs and determine which professionals and services should be involved.</w:t>
      </w:r>
    </w:p>
    <w:p w14:paraId="12C864C0" w14:textId="25AAC4BA" w:rsidR="000A4BC8" w:rsidRDefault="00561575" w:rsidP="00844EF2">
      <w:pPr>
        <w:pStyle w:val="ListParagraph"/>
        <w:spacing w:before="240" w:after="60"/>
        <w:ind w:left="567" w:right="397"/>
        <w:contextualSpacing w:val="0"/>
        <w:rPr>
          <w:rFonts w:ascii="Aptos" w:hAnsi="Aptos"/>
        </w:rPr>
      </w:pPr>
      <w:r w:rsidRPr="00561575">
        <w:rPr>
          <w:rFonts w:ascii="Aptos" w:hAnsi="Aptos"/>
          <w:b/>
        </w:rPr>
        <w:t>Assisting &amp; Observing Patient Care</w:t>
      </w:r>
    </w:p>
    <w:p w14:paraId="6D1EE90F"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Join ward rounds, clinics, and home visits, observing assessments, clinical decision-making, and treatments. </w:t>
      </w:r>
    </w:p>
    <w:p w14:paraId="09A14900"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Practice basic history taking, rapport building, and communication skills. </w:t>
      </w:r>
    </w:p>
    <w:p w14:paraId="6D6D741E"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Observe targeted assessments such as neurological exams, mental health evaluations, frailty assessments, and pre-operative checks. </w:t>
      </w:r>
    </w:p>
    <w:p w14:paraId="08485E88" w14:textId="0B7A49CA" w:rsidR="00561575" w:rsidRPr="00561575"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Reflect on how staff adapt communication for different patient needs (e.g., dementia, learning disabilities, anxiety, low mood).</w:t>
      </w:r>
    </w:p>
    <w:p w14:paraId="702E3556" w14:textId="77777777" w:rsidR="000A4BC8" w:rsidRPr="000A4BC8" w:rsidRDefault="00561575" w:rsidP="00844EF2">
      <w:pPr>
        <w:pStyle w:val="ListParagraph"/>
        <w:spacing w:before="240" w:after="60"/>
        <w:ind w:left="567" w:right="397"/>
        <w:contextualSpacing w:val="0"/>
        <w:rPr>
          <w:rFonts w:ascii="Aptos" w:hAnsi="Aptos"/>
        </w:rPr>
      </w:pPr>
      <w:r w:rsidRPr="00561575">
        <w:rPr>
          <w:rFonts w:ascii="Aptos" w:hAnsi="Aptos"/>
          <w:b/>
        </w:rPr>
        <w:t>Medication &amp; Specific Care Tasks</w:t>
      </w:r>
    </w:p>
    <w:p w14:paraId="2867DA11"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Under supervision and within scope of practice, assist with skills such as medication administration, wound care, catheterization, and pressure ulcer prevention</w:t>
      </w:r>
    </w:p>
    <w:p w14:paraId="5B5F3B2E" w14:textId="29CC9473" w:rsidR="00561575" w:rsidRPr="00561575" w:rsidRDefault="00561575" w:rsidP="00844EF2">
      <w:pPr>
        <w:pStyle w:val="ListParagraph"/>
        <w:numPr>
          <w:ilvl w:val="1"/>
          <w:numId w:val="17"/>
        </w:numPr>
        <w:spacing w:after="120"/>
        <w:ind w:left="1210" w:right="397"/>
        <w:contextualSpacing w:val="0"/>
        <w:rPr>
          <w:rFonts w:ascii="Aptos" w:hAnsi="Aptos"/>
        </w:rPr>
      </w:pPr>
      <w:r w:rsidRPr="00561575">
        <w:rPr>
          <w:rFonts w:ascii="Aptos" w:hAnsi="Aptos"/>
        </w:rPr>
        <w:t>Develop an understanding of the legal and practical considerations surrounding complex medication management, potential side effects, and patient safety strategies.</w:t>
      </w:r>
    </w:p>
    <w:p w14:paraId="6F7A07C2" w14:textId="60F5A290" w:rsidR="000A4BC8" w:rsidRPr="000A4BC8" w:rsidRDefault="00561575" w:rsidP="00844EF2">
      <w:pPr>
        <w:pStyle w:val="ListParagraph"/>
        <w:spacing w:before="240" w:after="60"/>
        <w:ind w:left="567" w:right="397"/>
        <w:contextualSpacing w:val="0"/>
        <w:rPr>
          <w:rFonts w:ascii="Aptos" w:hAnsi="Aptos"/>
        </w:rPr>
      </w:pPr>
      <w:r w:rsidRPr="00561575">
        <w:rPr>
          <w:rFonts w:ascii="Aptos" w:hAnsi="Aptos"/>
          <w:b/>
        </w:rPr>
        <w:t>Moving, Handling &amp; Personal Care</w:t>
      </w:r>
    </w:p>
    <w:p w14:paraId="0F102E38"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Observe and, if comfortable, assist with personal care tasks (e.g., washing, toileting, feeding) under direct supervision. </w:t>
      </w:r>
    </w:p>
    <w:p w14:paraId="6F6E4141" w14:textId="37889D88" w:rsidR="00561575" w:rsidRPr="00561575" w:rsidRDefault="00561575" w:rsidP="004718B9">
      <w:pPr>
        <w:pStyle w:val="ListParagraph"/>
        <w:numPr>
          <w:ilvl w:val="1"/>
          <w:numId w:val="17"/>
        </w:numPr>
        <w:spacing w:after="240"/>
        <w:ind w:left="1210" w:right="397"/>
        <w:contextualSpacing w:val="0"/>
        <w:rPr>
          <w:rFonts w:ascii="Aptos" w:hAnsi="Aptos"/>
        </w:rPr>
      </w:pPr>
      <w:r w:rsidRPr="00561575">
        <w:rPr>
          <w:rFonts w:ascii="Aptos" w:hAnsi="Aptos"/>
        </w:rPr>
        <w:t>Participate in mealtime experiences to understand factors affecting patient nutrition and ways to provide support.</w:t>
      </w:r>
    </w:p>
    <w:p w14:paraId="2D20097C" w14:textId="6DEB28F8" w:rsidR="000A4BC8" w:rsidRDefault="00561575" w:rsidP="00844EF2">
      <w:pPr>
        <w:pStyle w:val="ListParagraph"/>
        <w:spacing w:before="240" w:after="60"/>
        <w:ind w:left="567" w:right="397"/>
        <w:contextualSpacing w:val="0"/>
        <w:rPr>
          <w:rFonts w:ascii="Aptos" w:hAnsi="Aptos"/>
        </w:rPr>
      </w:pPr>
      <w:r w:rsidRPr="00561575">
        <w:rPr>
          <w:rFonts w:ascii="Aptos" w:hAnsi="Aptos"/>
          <w:b/>
        </w:rPr>
        <w:t>Senior Team &amp; Departmental Insight</w:t>
      </w:r>
    </w:p>
    <w:p w14:paraId="6ABCE884"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Spend time with senior staff to understand the daily operations of the service.</w:t>
      </w:r>
    </w:p>
    <w:p w14:paraId="73CA49E1" w14:textId="4118AD4B" w:rsidR="00561575" w:rsidRPr="00561575" w:rsidRDefault="00561575" w:rsidP="004718B9">
      <w:pPr>
        <w:pStyle w:val="ListParagraph"/>
        <w:numPr>
          <w:ilvl w:val="1"/>
          <w:numId w:val="17"/>
        </w:numPr>
        <w:spacing w:after="240"/>
        <w:ind w:left="1210" w:right="397"/>
        <w:contextualSpacing w:val="0"/>
        <w:rPr>
          <w:rFonts w:ascii="Aptos" w:hAnsi="Aptos"/>
        </w:rPr>
      </w:pPr>
      <w:r w:rsidRPr="00561575">
        <w:rPr>
          <w:rFonts w:ascii="Aptos" w:hAnsi="Aptos"/>
        </w:rPr>
        <w:t xml:space="preserve"> Learn about staff roles, scopes of practice, and how different professionals—including ambulance personnel—interact within the service.</w:t>
      </w:r>
    </w:p>
    <w:p w14:paraId="2E0F8531" w14:textId="30F71C83" w:rsidR="000A4BC8" w:rsidRDefault="00561575" w:rsidP="00844EF2">
      <w:pPr>
        <w:pStyle w:val="ListParagraph"/>
        <w:spacing w:before="240" w:after="60"/>
        <w:ind w:left="567" w:right="397"/>
        <w:contextualSpacing w:val="0"/>
        <w:rPr>
          <w:rFonts w:ascii="Aptos" w:hAnsi="Aptos"/>
        </w:rPr>
      </w:pPr>
      <w:r w:rsidRPr="00561575">
        <w:rPr>
          <w:rFonts w:ascii="Aptos" w:hAnsi="Aptos"/>
          <w:b/>
        </w:rPr>
        <w:t>Project-Based Placements</w:t>
      </w:r>
    </w:p>
    <w:p w14:paraId="49783264" w14:textId="77777777" w:rsidR="000A4BC8" w:rsidRDefault="00561575" w:rsidP="004718B9">
      <w:pPr>
        <w:pStyle w:val="ListParagraph"/>
        <w:numPr>
          <w:ilvl w:val="1"/>
          <w:numId w:val="17"/>
        </w:numPr>
        <w:spacing w:after="60"/>
        <w:ind w:left="1210" w:right="397"/>
        <w:contextualSpacing w:val="0"/>
        <w:rPr>
          <w:rFonts w:ascii="Aptos" w:hAnsi="Aptos"/>
        </w:rPr>
      </w:pPr>
      <w:r w:rsidRPr="00561575">
        <w:rPr>
          <w:rFonts w:ascii="Aptos" w:hAnsi="Aptos"/>
        </w:rPr>
        <w:t xml:space="preserve">Gain experience in information gathering, analysis, and reporting within quality improvement, research, and clinical governance teams. </w:t>
      </w:r>
    </w:p>
    <w:p w14:paraId="328132E7" w14:textId="2475778D" w:rsidR="00561575" w:rsidRPr="00561575" w:rsidRDefault="00561575" w:rsidP="004718B9">
      <w:pPr>
        <w:pStyle w:val="ListParagraph"/>
        <w:numPr>
          <w:ilvl w:val="1"/>
          <w:numId w:val="17"/>
        </w:numPr>
        <w:spacing w:after="240"/>
        <w:ind w:left="1210" w:right="397"/>
        <w:contextualSpacing w:val="0"/>
        <w:rPr>
          <w:rFonts w:ascii="Aptos" w:hAnsi="Aptos"/>
        </w:rPr>
      </w:pPr>
      <w:r w:rsidRPr="00561575">
        <w:rPr>
          <w:rFonts w:ascii="Aptos" w:hAnsi="Aptos"/>
        </w:rPr>
        <w:t>Contribute to service development by supporting data-driven decision-making and improvement initiatives.</w:t>
      </w:r>
    </w:p>
    <w:p w14:paraId="5EA866D1" w14:textId="77777777" w:rsidR="009B49AE" w:rsidRPr="00883958" w:rsidRDefault="009B49AE" w:rsidP="003D07A7">
      <w:pPr>
        <w:pStyle w:val="Heading1"/>
        <w:spacing w:before="360" w:after="120"/>
        <w:ind w:left="283" w:right="567"/>
        <w:rPr>
          <w:rFonts w:ascii="Aptos" w:hAnsi="Aptos" w:cstheme="minorHAnsi"/>
          <w:sz w:val="36"/>
          <w:szCs w:val="36"/>
        </w:rPr>
        <w:sectPr w:rsidR="009B49AE" w:rsidRPr="00883958" w:rsidSect="009B49AE">
          <w:pgSz w:w="11906" w:h="16838"/>
          <w:pgMar w:top="720" w:right="720" w:bottom="720" w:left="567" w:header="709" w:footer="709" w:gutter="0"/>
          <w:cols w:space="708"/>
          <w:docGrid w:linePitch="360"/>
        </w:sectPr>
      </w:pPr>
    </w:p>
    <w:p w14:paraId="056FF88F" w14:textId="21914FA0" w:rsidR="007A56D8" w:rsidRPr="00883958" w:rsidRDefault="007A56D8" w:rsidP="003D07A7">
      <w:pPr>
        <w:pStyle w:val="Heading1"/>
        <w:spacing w:before="360" w:after="120"/>
        <w:ind w:left="283" w:right="567"/>
        <w:rPr>
          <w:rFonts w:ascii="Aptos" w:hAnsi="Aptos" w:cstheme="minorHAnsi"/>
          <w:sz w:val="36"/>
          <w:szCs w:val="36"/>
        </w:rPr>
      </w:pPr>
      <w:r w:rsidRPr="00883958">
        <w:rPr>
          <w:rFonts w:ascii="Aptos" w:hAnsi="Aptos" w:cstheme="minorHAnsi"/>
          <w:sz w:val="36"/>
          <w:szCs w:val="36"/>
        </w:rPr>
        <w:lastRenderedPageBreak/>
        <w:t xml:space="preserve">How </w:t>
      </w:r>
      <w:r w:rsidR="006D605E" w:rsidRPr="00883958">
        <w:rPr>
          <w:rFonts w:ascii="Aptos" w:hAnsi="Aptos" w:cstheme="minorHAnsi"/>
          <w:sz w:val="36"/>
          <w:szCs w:val="36"/>
        </w:rPr>
        <w:t>l</w:t>
      </w:r>
      <w:r w:rsidRPr="00883958">
        <w:rPr>
          <w:rFonts w:ascii="Aptos" w:hAnsi="Aptos" w:cstheme="minorHAnsi"/>
          <w:sz w:val="36"/>
          <w:szCs w:val="36"/>
        </w:rPr>
        <w:t>ong?</w:t>
      </w:r>
    </w:p>
    <w:p w14:paraId="339F32FB" w14:textId="4B1590A3" w:rsidR="00F772B8" w:rsidRPr="00187EA9" w:rsidRDefault="00D70CFB" w:rsidP="2E5E7CCA">
      <w:pPr>
        <w:ind w:left="432" w:right="567"/>
        <w:rPr>
          <w:rFonts w:ascii="Aptos" w:hAnsi="Aptos" w:cstheme="minorHAnsi"/>
        </w:rPr>
      </w:pPr>
      <w:r w:rsidRPr="00187EA9">
        <w:rPr>
          <w:rFonts w:ascii="Aptos" w:hAnsi="Aptos" w:cstheme="minorHAnsi"/>
        </w:rPr>
        <w:t xml:space="preserve">Each placement is </w:t>
      </w:r>
      <w:r w:rsidR="009B1D0E" w:rsidRPr="00187EA9">
        <w:rPr>
          <w:rFonts w:ascii="Aptos" w:hAnsi="Aptos" w:cstheme="minorHAnsi"/>
        </w:rPr>
        <w:t>2</w:t>
      </w:r>
      <w:r w:rsidRPr="00187EA9">
        <w:rPr>
          <w:rFonts w:ascii="Aptos" w:hAnsi="Aptos" w:cstheme="minorHAnsi"/>
        </w:rPr>
        <w:t xml:space="preserve"> week</w:t>
      </w:r>
      <w:r w:rsidR="009B1D0E" w:rsidRPr="00187EA9">
        <w:rPr>
          <w:rFonts w:ascii="Aptos" w:hAnsi="Aptos" w:cstheme="minorHAnsi"/>
        </w:rPr>
        <w:t>s</w:t>
      </w:r>
      <w:r w:rsidRPr="00187EA9">
        <w:rPr>
          <w:rFonts w:ascii="Aptos" w:hAnsi="Aptos" w:cstheme="minorHAnsi"/>
        </w:rPr>
        <w:t xml:space="preserve"> long. We consider </w:t>
      </w:r>
      <w:r w:rsidR="009B1D0E" w:rsidRPr="00187EA9">
        <w:rPr>
          <w:rFonts w:ascii="Aptos" w:hAnsi="Aptos" w:cstheme="minorHAnsi"/>
        </w:rPr>
        <w:t>one week</w:t>
      </w:r>
      <w:r w:rsidRPr="00187EA9">
        <w:rPr>
          <w:rFonts w:ascii="Aptos" w:hAnsi="Aptos" w:cstheme="minorHAnsi"/>
        </w:rPr>
        <w:t xml:space="preserve"> to be 3</w:t>
      </w:r>
      <w:r w:rsidR="004D1055" w:rsidRPr="00187EA9">
        <w:rPr>
          <w:rFonts w:ascii="Aptos" w:hAnsi="Aptos" w:cstheme="minorHAnsi"/>
        </w:rPr>
        <w:t>6</w:t>
      </w:r>
      <w:r w:rsidRPr="00187EA9">
        <w:rPr>
          <w:rFonts w:ascii="Aptos" w:hAnsi="Aptos" w:cstheme="minorHAnsi"/>
        </w:rPr>
        <w:t xml:space="preserve"> hours. </w:t>
      </w:r>
    </w:p>
    <w:p w14:paraId="7D73A763" w14:textId="34D76A92" w:rsidR="00F46E7D" w:rsidRPr="00187EA9" w:rsidRDefault="00D70CFB" w:rsidP="2E5E7CCA">
      <w:pPr>
        <w:ind w:left="432" w:right="567"/>
        <w:rPr>
          <w:rFonts w:ascii="Aptos" w:hAnsi="Aptos" w:cstheme="minorHAnsi"/>
        </w:rPr>
      </w:pPr>
      <w:r w:rsidRPr="00187EA9">
        <w:rPr>
          <w:rFonts w:ascii="Aptos" w:hAnsi="Aptos" w:cstheme="minorHAnsi"/>
        </w:rPr>
        <w:t xml:space="preserve">The placement experience is mandatory but the student may not meet the exact number of hours and still be able to progress on the programme e.g. if only 30 hours can be achieved within the capacity of the placement provider </w:t>
      </w:r>
      <w:r w:rsidR="00F772B8" w:rsidRPr="00187EA9">
        <w:rPr>
          <w:rFonts w:ascii="Aptos" w:hAnsi="Aptos" w:cstheme="minorHAnsi"/>
        </w:rPr>
        <w:t xml:space="preserve">the other </w:t>
      </w:r>
      <w:r w:rsidR="00F10BAC" w:rsidRPr="00187EA9">
        <w:rPr>
          <w:rFonts w:ascii="Aptos" w:hAnsi="Aptos" w:cstheme="minorHAnsi"/>
        </w:rPr>
        <w:t>6</w:t>
      </w:r>
      <w:r w:rsidR="00F772B8" w:rsidRPr="00187EA9">
        <w:rPr>
          <w:rFonts w:ascii="Aptos" w:hAnsi="Aptos" w:cstheme="minorHAnsi"/>
        </w:rPr>
        <w:t xml:space="preserve"> hours does not need to be recovered. All practice education progression is based on achievement of learning outcomes, not the number of hours the student is present</w:t>
      </w:r>
      <w:r w:rsidR="00F46E7D" w:rsidRPr="00187EA9">
        <w:rPr>
          <w:rFonts w:ascii="Aptos" w:hAnsi="Aptos" w:cstheme="minorHAnsi"/>
        </w:rPr>
        <w:t>.</w:t>
      </w:r>
    </w:p>
    <w:p w14:paraId="58E989DC" w14:textId="0AC1B5F7" w:rsidR="00072487" w:rsidRPr="00187EA9" w:rsidRDefault="00F772B8" w:rsidP="2E5E7CCA">
      <w:pPr>
        <w:ind w:left="432" w:right="567"/>
        <w:rPr>
          <w:rFonts w:ascii="Aptos" w:hAnsi="Aptos" w:cstheme="minorHAnsi"/>
        </w:rPr>
      </w:pPr>
      <w:r w:rsidRPr="00187EA9">
        <w:rPr>
          <w:rFonts w:ascii="Aptos" w:hAnsi="Aptos" w:cstheme="minorHAnsi"/>
        </w:rPr>
        <w:t xml:space="preserve">Students (unless under 18) are permitted to work night shifts and </w:t>
      </w:r>
      <w:r w:rsidR="00A04F17" w:rsidRPr="00187EA9">
        <w:rPr>
          <w:rFonts w:ascii="Aptos" w:hAnsi="Aptos" w:cstheme="minorHAnsi"/>
        </w:rPr>
        <w:t>weekends;</w:t>
      </w:r>
      <w:r w:rsidRPr="00187EA9">
        <w:rPr>
          <w:rFonts w:ascii="Aptos" w:hAnsi="Aptos" w:cstheme="minorHAnsi"/>
        </w:rPr>
        <w:t xml:space="preserve"> therefore </w:t>
      </w:r>
      <w:r w:rsidR="00375785" w:rsidRPr="00187EA9">
        <w:rPr>
          <w:rFonts w:ascii="Aptos" w:hAnsi="Aptos" w:cstheme="minorHAnsi"/>
        </w:rPr>
        <w:t xml:space="preserve">you can arrange for students to follow a specific </w:t>
      </w:r>
      <w:r w:rsidRPr="00187EA9">
        <w:rPr>
          <w:rFonts w:ascii="Aptos" w:hAnsi="Aptos" w:cstheme="minorHAnsi"/>
        </w:rPr>
        <w:t xml:space="preserve">shift pattern </w:t>
      </w:r>
      <w:r w:rsidR="00375785" w:rsidRPr="00187EA9">
        <w:rPr>
          <w:rFonts w:ascii="Aptos" w:hAnsi="Aptos" w:cstheme="minorHAnsi"/>
        </w:rPr>
        <w:t>if this is suitable for everyone and facilitates student learning</w:t>
      </w:r>
      <w:r w:rsidRPr="00187EA9">
        <w:rPr>
          <w:rFonts w:ascii="Aptos" w:hAnsi="Aptos" w:cstheme="minorHAnsi"/>
        </w:rPr>
        <w:t>. Additionally</w:t>
      </w:r>
      <w:r w:rsidR="00146400" w:rsidRPr="00187EA9">
        <w:rPr>
          <w:rFonts w:ascii="Aptos" w:hAnsi="Aptos" w:cstheme="minorHAnsi"/>
        </w:rPr>
        <w:t>,</w:t>
      </w:r>
      <w:r w:rsidRPr="00187EA9">
        <w:rPr>
          <w:rFonts w:ascii="Aptos" w:hAnsi="Aptos" w:cstheme="minorHAnsi"/>
        </w:rPr>
        <w:t xml:space="preserve"> a student may ask to do </w:t>
      </w:r>
      <w:r w:rsidR="00375785" w:rsidRPr="00187EA9">
        <w:rPr>
          <w:rFonts w:ascii="Aptos" w:hAnsi="Aptos" w:cstheme="minorHAnsi"/>
        </w:rPr>
        <w:t>fewer,</w:t>
      </w:r>
      <w:r w:rsidRPr="00187EA9">
        <w:rPr>
          <w:rFonts w:ascii="Aptos" w:hAnsi="Aptos" w:cstheme="minorHAnsi"/>
        </w:rPr>
        <w:t xml:space="preserve"> longer </w:t>
      </w:r>
      <w:r w:rsidR="00375785" w:rsidRPr="00187EA9">
        <w:rPr>
          <w:rFonts w:ascii="Aptos" w:hAnsi="Aptos" w:cstheme="minorHAnsi"/>
        </w:rPr>
        <w:t xml:space="preserve">shifts </w:t>
      </w:r>
      <w:r w:rsidRPr="00187EA9">
        <w:rPr>
          <w:rFonts w:ascii="Aptos" w:hAnsi="Aptos" w:cstheme="minorHAnsi"/>
        </w:rPr>
        <w:t>to achieve their learning and maintain part-time work or family commitments</w:t>
      </w:r>
      <w:r w:rsidR="00375785" w:rsidRPr="00187EA9">
        <w:rPr>
          <w:rFonts w:ascii="Aptos" w:hAnsi="Aptos" w:cstheme="minorHAnsi"/>
        </w:rPr>
        <w:t>. I</w:t>
      </w:r>
      <w:r w:rsidRPr="00187EA9">
        <w:rPr>
          <w:rFonts w:ascii="Aptos" w:hAnsi="Aptos" w:cstheme="minorHAnsi"/>
        </w:rPr>
        <w:t>f this can be accommodated without detriment to the placement provider</w:t>
      </w:r>
      <w:r w:rsidR="00375785" w:rsidRPr="00187EA9">
        <w:rPr>
          <w:rFonts w:ascii="Aptos" w:hAnsi="Aptos" w:cstheme="minorHAnsi"/>
        </w:rPr>
        <w:t xml:space="preserve"> and their learning</w:t>
      </w:r>
      <w:r w:rsidRPr="00187EA9">
        <w:rPr>
          <w:rFonts w:ascii="Aptos" w:hAnsi="Aptos" w:cstheme="minorHAnsi"/>
        </w:rPr>
        <w:t xml:space="preserve"> it would be appreciated by all. </w:t>
      </w:r>
    </w:p>
    <w:bookmarkEnd w:id="0"/>
    <w:p w14:paraId="26061D89" w14:textId="77777777" w:rsidR="007F28C8" w:rsidRPr="00883958" w:rsidRDefault="007F28C8" w:rsidP="007F28C8">
      <w:pPr>
        <w:pStyle w:val="Heading1"/>
        <w:spacing w:before="360" w:after="120"/>
        <w:ind w:left="283" w:right="567"/>
        <w:rPr>
          <w:rFonts w:ascii="Aptos" w:hAnsi="Aptos" w:cstheme="minorHAnsi"/>
          <w:sz w:val="36"/>
        </w:rPr>
      </w:pPr>
      <w:r w:rsidRPr="00883958">
        <w:rPr>
          <w:rFonts w:ascii="Aptos" w:hAnsi="Aptos" w:cstheme="minorHAnsi"/>
          <w:sz w:val="36"/>
        </w:rPr>
        <w:t>Supervision</w:t>
      </w:r>
    </w:p>
    <w:p w14:paraId="53A7DAB9" w14:textId="77777777" w:rsidR="007F28C8" w:rsidRDefault="007F28C8" w:rsidP="007F28C8">
      <w:pPr>
        <w:spacing w:after="120"/>
        <w:ind w:left="567" w:right="567"/>
        <w:rPr>
          <w:rFonts w:ascii="Aptos" w:hAnsi="Aptos" w:cstheme="minorHAnsi"/>
        </w:rPr>
      </w:pPr>
      <w:r w:rsidRPr="00187EA9">
        <w:rPr>
          <w:rFonts w:ascii="Aptos" w:hAnsi="Aptos" w:cstheme="minorHAnsi"/>
        </w:rPr>
        <w:t xml:space="preserve">We ask that there is a nominated practice educator (PE) or mentor within the placement area who would meet them at the start of the first day for attendance keeping and orientation. They would ideally also be responsible for identifying and directing students to learning opportunities (such as those suggested above) throughout the placement block. </w:t>
      </w:r>
    </w:p>
    <w:p w14:paraId="416412AE" w14:textId="55D3749A" w:rsidR="00910007" w:rsidRPr="00910007" w:rsidRDefault="00910007" w:rsidP="00910007">
      <w:pPr>
        <w:spacing w:after="120"/>
        <w:ind w:left="567" w:right="567"/>
        <w:rPr>
          <w:rFonts w:ascii="Aptos" w:hAnsi="Aptos"/>
          <w:b/>
          <w:bCs/>
        </w:rPr>
      </w:pPr>
      <w:r w:rsidRPr="00D14504">
        <w:rPr>
          <w:rFonts w:ascii="Aptos" w:hAnsi="Aptos"/>
          <w:b/>
          <w:bCs/>
        </w:rPr>
        <w:t xml:space="preserve">If you have any questions/concerns, please contact </w:t>
      </w:r>
      <w:hyperlink r:id="rId10" w:history="1">
        <w:r w:rsidRPr="00D14504">
          <w:rPr>
            <w:rStyle w:val="Hyperlink"/>
            <w:rFonts w:ascii="Aptos" w:hAnsi="Aptos"/>
            <w:b/>
            <w:bCs/>
          </w:rPr>
          <w:t>paramedicplacements@gcu.ac.uk</w:t>
        </w:r>
      </w:hyperlink>
      <w:r w:rsidRPr="00D14504">
        <w:rPr>
          <w:rFonts w:ascii="Aptos" w:hAnsi="Aptos"/>
          <w:b/>
          <w:bCs/>
        </w:rPr>
        <w:t xml:space="preserve"> </w:t>
      </w:r>
    </w:p>
    <w:p w14:paraId="697ECFC2" w14:textId="03F6445C" w:rsidR="007F28C8" w:rsidRPr="00883958" w:rsidRDefault="007F28C8" w:rsidP="007F28C8">
      <w:pPr>
        <w:pStyle w:val="Heading1"/>
        <w:spacing w:before="360" w:after="120"/>
        <w:ind w:left="283" w:right="567"/>
        <w:rPr>
          <w:rFonts w:ascii="Aptos" w:hAnsi="Aptos" w:cstheme="minorHAnsi"/>
          <w:sz w:val="36"/>
        </w:rPr>
      </w:pPr>
      <w:r w:rsidRPr="00883958">
        <w:rPr>
          <w:rFonts w:ascii="Aptos" w:hAnsi="Aptos" w:cstheme="minorHAnsi"/>
          <w:sz w:val="36"/>
        </w:rPr>
        <w:t xml:space="preserve">Assessment and </w:t>
      </w:r>
      <w:r w:rsidR="00464403" w:rsidRPr="00883958">
        <w:rPr>
          <w:rFonts w:ascii="Aptos" w:hAnsi="Aptos" w:cstheme="minorHAnsi"/>
          <w:sz w:val="36"/>
        </w:rPr>
        <w:t>d</w:t>
      </w:r>
      <w:r w:rsidRPr="00883958">
        <w:rPr>
          <w:rFonts w:ascii="Aptos" w:hAnsi="Aptos" w:cstheme="minorHAnsi"/>
          <w:sz w:val="36"/>
        </w:rPr>
        <w:t>ocumentation</w:t>
      </w:r>
    </w:p>
    <w:p w14:paraId="40F53C8A" w14:textId="77777777" w:rsidR="007F28C8" w:rsidRPr="00187EA9" w:rsidRDefault="007F28C8" w:rsidP="007F28C8">
      <w:pPr>
        <w:ind w:left="567" w:right="567"/>
        <w:rPr>
          <w:rFonts w:ascii="Aptos" w:hAnsi="Aptos" w:cstheme="minorHAnsi"/>
        </w:rPr>
      </w:pPr>
      <w:r w:rsidRPr="00187EA9">
        <w:rPr>
          <w:rFonts w:ascii="Aptos" w:hAnsi="Aptos" w:cstheme="minorHAnsi"/>
        </w:rPr>
        <w:t xml:space="preserve">All relevant documentation should be completed independently by the student. It is not necessary for PE/mentors to review/verify these, but comments and feedback are welcomed and encouraged where possible. </w:t>
      </w:r>
    </w:p>
    <w:p w14:paraId="1B2045AA" w14:textId="77777777" w:rsidR="007F28C8" w:rsidRPr="00187EA9" w:rsidRDefault="007F28C8" w:rsidP="007F28C8">
      <w:pPr>
        <w:ind w:left="567" w:right="567"/>
        <w:rPr>
          <w:rFonts w:ascii="Aptos" w:hAnsi="Aptos" w:cstheme="minorHAnsi"/>
        </w:rPr>
      </w:pPr>
      <w:r w:rsidRPr="00187EA9">
        <w:rPr>
          <w:rFonts w:ascii="Aptos" w:hAnsi="Aptos" w:cstheme="minorHAnsi"/>
        </w:rPr>
        <w:t>Students are required to submit the following documents to GCU following the placement:</w:t>
      </w:r>
    </w:p>
    <w:p w14:paraId="401D41D5" w14:textId="1DA57112" w:rsidR="007F28C8" w:rsidRPr="00187EA9" w:rsidRDefault="007F28C8" w:rsidP="007F28C8">
      <w:pPr>
        <w:ind w:left="1020" w:right="567"/>
        <w:rPr>
          <w:rFonts w:ascii="Aptos" w:hAnsi="Aptos" w:cstheme="minorHAnsi"/>
        </w:rPr>
      </w:pPr>
      <w:r w:rsidRPr="00187EA9">
        <w:rPr>
          <w:rFonts w:ascii="Aptos" w:hAnsi="Aptos" w:cstheme="minorHAnsi"/>
          <w:b/>
        </w:rPr>
        <w:t xml:space="preserve">Essential </w:t>
      </w:r>
      <w:r w:rsidRPr="00187EA9">
        <w:rPr>
          <w:rFonts w:ascii="Aptos" w:hAnsi="Aptos" w:cstheme="minorHAnsi"/>
        </w:rPr>
        <w:t>(ideally signed or verified by PE/mentor)</w:t>
      </w:r>
    </w:p>
    <w:p w14:paraId="3D734F43" w14:textId="73406E5A" w:rsidR="007F28C8" w:rsidRPr="00187EA9" w:rsidRDefault="00243D72" w:rsidP="007F28C8">
      <w:pPr>
        <w:pStyle w:val="ListParagraph"/>
        <w:numPr>
          <w:ilvl w:val="0"/>
          <w:numId w:val="7"/>
        </w:numPr>
        <w:ind w:left="1664" w:right="567"/>
        <w:rPr>
          <w:rFonts w:ascii="Aptos" w:hAnsi="Aptos" w:cstheme="minorHAnsi"/>
        </w:rPr>
      </w:pPr>
      <w:r w:rsidRPr="00187EA9">
        <w:rPr>
          <w:rFonts w:ascii="Aptos" w:hAnsi="Aptos" w:cstheme="minorHAnsi"/>
        </w:rPr>
        <w:t xml:space="preserve">1. </w:t>
      </w:r>
      <w:r w:rsidR="007F28C8" w:rsidRPr="00187EA9">
        <w:rPr>
          <w:rFonts w:ascii="Aptos" w:hAnsi="Aptos" w:cstheme="minorHAnsi"/>
        </w:rPr>
        <w:t>Practice learning environment orientation</w:t>
      </w:r>
    </w:p>
    <w:p w14:paraId="0BB490BD" w14:textId="4A1BA2B1" w:rsidR="007F28C8" w:rsidRPr="00187EA9" w:rsidRDefault="00243D72" w:rsidP="007F28C8">
      <w:pPr>
        <w:pStyle w:val="ListParagraph"/>
        <w:numPr>
          <w:ilvl w:val="0"/>
          <w:numId w:val="7"/>
        </w:numPr>
        <w:ind w:left="1664" w:right="567"/>
        <w:rPr>
          <w:rFonts w:ascii="Aptos" w:hAnsi="Aptos" w:cstheme="minorHAnsi"/>
        </w:rPr>
      </w:pPr>
      <w:r w:rsidRPr="00187EA9">
        <w:rPr>
          <w:rFonts w:ascii="Aptos" w:hAnsi="Aptos" w:cstheme="minorHAnsi"/>
        </w:rPr>
        <w:t xml:space="preserve">2. </w:t>
      </w:r>
      <w:r w:rsidR="007F28C8" w:rsidRPr="00187EA9">
        <w:rPr>
          <w:rFonts w:ascii="Aptos" w:hAnsi="Aptos" w:cstheme="minorHAnsi"/>
        </w:rPr>
        <w:t>Record of attendance</w:t>
      </w:r>
    </w:p>
    <w:p w14:paraId="29215C82" w14:textId="00008F38" w:rsidR="007F28C8" w:rsidRPr="00187EA9" w:rsidRDefault="00243D72" w:rsidP="3F1CF3D5">
      <w:pPr>
        <w:pStyle w:val="ListParagraph"/>
        <w:numPr>
          <w:ilvl w:val="0"/>
          <w:numId w:val="7"/>
        </w:numPr>
        <w:ind w:left="1664" w:right="567"/>
        <w:rPr>
          <w:rFonts w:ascii="Aptos" w:hAnsi="Aptos" w:cstheme="minorHAnsi"/>
        </w:rPr>
      </w:pPr>
      <w:r w:rsidRPr="00187EA9">
        <w:rPr>
          <w:rFonts w:ascii="Aptos" w:hAnsi="Aptos" w:cstheme="minorHAnsi"/>
        </w:rPr>
        <w:t xml:space="preserve">3. </w:t>
      </w:r>
      <w:r w:rsidR="007F28C8" w:rsidRPr="00187EA9">
        <w:rPr>
          <w:rFonts w:ascii="Aptos" w:hAnsi="Aptos" w:cstheme="minorHAnsi"/>
        </w:rPr>
        <w:t>Learner contract</w:t>
      </w:r>
      <w:r w:rsidR="7918B81F" w:rsidRPr="00187EA9">
        <w:rPr>
          <w:rFonts w:ascii="Aptos" w:eastAsia="Calibri" w:hAnsi="Aptos" w:cstheme="minorHAnsi"/>
        </w:rPr>
        <w:t xml:space="preserve"> </w:t>
      </w:r>
      <w:r w:rsidR="7918B81F" w:rsidRPr="00187EA9">
        <w:rPr>
          <w:rFonts w:ascii="Aptos" w:eastAsia="Calibri" w:hAnsi="Aptos" w:cstheme="minorHAnsi"/>
          <w:i/>
          <w:iCs/>
        </w:rPr>
        <w:t>(learning outcomes and activities to be copied from this document)</w:t>
      </w:r>
    </w:p>
    <w:p w14:paraId="7FE6A364" w14:textId="77777777" w:rsidR="007F28C8" w:rsidRPr="00187EA9" w:rsidRDefault="007F28C8" w:rsidP="007F28C8">
      <w:pPr>
        <w:ind w:left="1020" w:right="567"/>
        <w:rPr>
          <w:rFonts w:ascii="Aptos" w:hAnsi="Aptos" w:cstheme="minorHAnsi"/>
        </w:rPr>
      </w:pPr>
      <w:r w:rsidRPr="00187EA9">
        <w:rPr>
          <w:rFonts w:ascii="Aptos" w:hAnsi="Aptos" w:cstheme="minorHAnsi"/>
          <w:b/>
        </w:rPr>
        <w:t xml:space="preserve">Desirable </w:t>
      </w:r>
      <w:r w:rsidRPr="00187EA9">
        <w:rPr>
          <w:rFonts w:ascii="Aptos" w:hAnsi="Aptos" w:cstheme="minorHAnsi"/>
        </w:rPr>
        <w:t>(optional should the PE/mentor wish to provide additional feedback)</w:t>
      </w:r>
    </w:p>
    <w:p w14:paraId="4E172E0F" w14:textId="56D996CD" w:rsidR="007F28C8" w:rsidRPr="00187EA9" w:rsidRDefault="00243D72" w:rsidP="007F28C8">
      <w:pPr>
        <w:pStyle w:val="ListParagraph"/>
        <w:numPr>
          <w:ilvl w:val="0"/>
          <w:numId w:val="7"/>
        </w:numPr>
        <w:ind w:left="1664" w:right="567"/>
        <w:rPr>
          <w:rFonts w:ascii="Aptos" w:hAnsi="Aptos" w:cstheme="minorHAnsi"/>
        </w:rPr>
      </w:pPr>
      <w:r w:rsidRPr="00187EA9">
        <w:rPr>
          <w:rFonts w:ascii="Aptos" w:hAnsi="Aptos" w:cstheme="minorHAnsi"/>
        </w:rPr>
        <w:t xml:space="preserve">5. </w:t>
      </w:r>
      <w:r w:rsidR="007F28C8" w:rsidRPr="00187EA9">
        <w:rPr>
          <w:rFonts w:ascii="Aptos" w:hAnsi="Aptos" w:cstheme="minorHAnsi"/>
        </w:rPr>
        <w:t>Final report</w:t>
      </w:r>
    </w:p>
    <w:p w14:paraId="6A4EE3AB" w14:textId="39EE7757" w:rsidR="007F28C8" w:rsidRPr="00187EA9" w:rsidRDefault="00243D72" w:rsidP="007F28C8">
      <w:pPr>
        <w:pStyle w:val="ListParagraph"/>
        <w:numPr>
          <w:ilvl w:val="0"/>
          <w:numId w:val="7"/>
        </w:numPr>
        <w:ind w:left="1664" w:right="567"/>
        <w:rPr>
          <w:rFonts w:ascii="Aptos" w:hAnsi="Aptos" w:cstheme="minorHAnsi"/>
        </w:rPr>
      </w:pPr>
      <w:r w:rsidRPr="00187EA9">
        <w:rPr>
          <w:rFonts w:ascii="Aptos" w:hAnsi="Aptos" w:cstheme="minorHAnsi"/>
        </w:rPr>
        <w:t xml:space="preserve">8. </w:t>
      </w:r>
      <w:r w:rsidR="007F28C8" w:rsidRPr="00187EA9">
        <w:rPr>
          <w:rFonts w:ascii="Aptos" w:hAnsi="Aptos" w:cstheme="minorHAnsi"/>
        </w:rPr>
        <w:t>Non-technical skills assessment</w:t>
      </w:r>
    </w:p>
    <w:p w14:paraId="6F80F860" w14:textId="1AFC1540" w:rsidR="007F28C8" w:rsidRPr="00187EA9" w:rsidRDefault="00243D72" w:rsidP="007F28C8">
      <w:pPr>
        <w:pStyle w:val="ListParagraph"/>
        <w:numPr>
          <w:ilvl w:val="0"/>
          <w:numId w:val="7"/>
        </w:numPr>
        <w:ind w:left="1664" w:right="567"/>
        <w:rPr>
          <w:rFonts w:ascii="Aptos" w:hAnsi="Aptos" w:cstheme="minorHAnsi"/>
        </w:rPr>
      </w:pPr>
      <w:r w:rsidRPr="00187EA9">
        <w:rPr>
          <w:rFonts w:ascii="Aptos" w:hAnsi="Aptos" w:cstheme="minorHAnsi"/>
        </w:rPr>
        <w:t xml:space="preserve">11. </w:t>
      </w:r>
      <w:r w:rsidR="007F28C8" w:rsidRPr="00187EA9">
        <w:rPr>
          <w:rFonts w:ascii="Aptos" w:hAnsi="Aptos" w:cstheme="minorHAnsi"/>
        </w:rPr>
        <w:t>Signature verification</w:t>
      </w:r>
    </w:p>
    <w:p w14:paraId="41C5723C" w14:textId="77777777" w:rsidR="007F28C8" w:rsidRPr="00187EA9" w:rsidRDefault="007F28C8" w:rsidP="007F28C8">
      <w:pPr>
        <w:ind w:left="567" w:right="567"/>
        <w:rPr>
          <w:rFonts w:ascii="Aptos" w:hAnsi="Aptos" w:cstheme="minorHAnsi"/>
        </w:rPr>
      </w:pPr>
      <w:r w:rsidRPr="00187EA9">
        <w:rPr>
          <w:rFonts w:ascii="Aptos" w:hAnsi="Aptos" w:cstheme="minorHAnsi"/>
        </w:rPr>
        <w:t xml:space="preserve">PEs/mentors have the option of reviewing and signing these documents should they wish to provide additional feedback, but this is entirely optional. </w:t>
      </w:r>
      <w:r w:rsidRPr="00187EA9">
        <w:rPr>
          <w:rFonts w:ascii="Aptos" w:hAnsi="Aptos" w:cstheme="minorHAnsi"/>
          <w:iCs/>
        </w:rPr>
        <w:t>This has been added in response to requests from last year’s PEs/mentors.</w:t>
      </w:r>
    </w:p>
    <w:p w14:paraId="4EBC4F46" w14:textId="39A47A9C" w:rsidR="007F28C8" w:rsidRPr="00187EA9" w:rsidRDefault="007F28C8" w:rsidP="007F28C8">
      <w:pPr>
        <w:ind w:left="567" w:right="567"/>
        <w:rPr>
          <w:rFonts w:ascii="Aptos" w:hAnsi="Aptos" w:cstheme="minorHAnsi"/>
        </w:rPr>
      </w:pPr>
      <w:r w:rsidRPr="00187EA9">
        <w:rPr>
          <w:rFonts w:ascii="Aptos" w:hAnsi="Aptos" w:cstheme="minorHAnsi"/>
        </w:rPr>
        <w:t>Further guidance on</w:t>
      </w:r>
      <w:r w:rsidR="0009037F" w:rsidRPr="00187EA9">
        <w:rPr>
          <w:rFonts w:ascii="Aptos" w:hAnsi="Aptos" w:cstheme="minorHAnsi"/>
        </w:rPr>
        <w:t xml:space="preserve"> and copies of the</w:t>
      </w:r>
      <w:r w:rsidRPr="00187EA9">
        <w:rPr>
          <w:rFonts w:ascii="Aptos" w:hAnsi="Aptos" w:cstheme="minorHAnsi"/>
        </w:rPr>
        <w:t xml:space="preserve"> documentation </w:t>
      </w:r>
      <w:r w:rsidR="00691136" w:rsidRPr="00187EA9">
        <w:rPr>
          <w:rFonts w:ascii="Aptos" w:hAnsi="Aptos" w:cstheme="minorHAnsi"/>
        </w:rPr>
        <w:t>will be</w:t>
      </w:r>
      <w:r w:rsidRPr="00187EA9">
        <w:rPr>
          <w:rFonts w:ascii="Aptos" w:hAnsi="Aptos" w:cstheme="minorHAnsi"/>
        </w:rPr>
        <w:t xml:space="preserve"> provided in a separate presentation. </w:t>
      </w:r>
    </w:p>
    <w:p w14:paraId="3E427FD5" w14:textId="35470C61" w:rsidR="004C08E3" w:rsidRPr="00883958" w:rsidRDefault="004C08E3" w:rsidP="003D07A7">
      <w:pPr>
        <w:ind w:left="567" w:right="567"/>
        <w:rPr>
          <w:rFonts w:ascii="Aptos" w:hAnsi="Aptos" w:cstheme="minorHAnsi"/>
        </w:rPr>
      </w:pPr>
    </w:p>
    <w:sectPr w:rsidR="004C08E3" w:rsidRPr="00883958" w:rsidSect="004053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623E"/>
    <w:multiLevelType w:val="hybridMultilevel"/>
    <w:tmpl w:val="6160F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21A4"/>
    <w:multiLevelType w:val="hybridMultilevel"/>
    <w:tmpl w:val="B178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63C4F"/>
    <w:multiLevelType w:val="hybridMultilevel"/>
    <w:tmpl w:val="A6EAC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D42B6"/>
    <w:multiLevelType w:val="hybridMultilevel"/>
    <w:tmpl w:val="89D893DC"/>
    <w:lvl w:ilvl="0" w:tplc="F7CA9F32">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2C351A"/>
    <w:multiLevelType w:val="hybridMultilevel"/>
    <w:tmpl w:val="FA924AA2"/>
    <w:lvl w:ilvl="0" w:tplc="6832C7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4379F"/>
    <w:multiLevelType w:val="hybridMultilevel"/>
    <w:tmpl w:val="30CE9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F2DDD"/>
    <w:multiLevelType w:val="hybridMultilevel"/>
    <w:tmpl w:val="6FFE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A1405"/>
    <w:multiLevelType w:val="hybridMultilevel"/>
    <w:tmpl w:val="C3DAF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63E3F"/>
    <w:multiLevelType w:val="hybridMultilevel"/>
    <w:tmpl w:val="83E46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177B8"/>
    <w:multiLevelType w:val="hybridMultilevel"/>
    <w:tmpl w:val="43C8C3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4213375"/>
    <w:multiLevelType w:val="hybridMultilevel"/>
    <w:tmpl w:val="9BB4E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9321A"/>
    <w:multiLevelType w:val="hybridMultilevel"/>
    <w:tmpl w:val="95BA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D365A"/>
    <w:multiLevelType w:val="hybridMultilevel"/>
    <w:tmpl w:val="B1C4463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6D24B5E"/>
    <w:multiLevelType w:val="hybridMultilevel"/>
    <w:tmpl w:val="16481E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BE78BC"/>
    <w:multiLevelType w:val="hybridMultilevel"/>
    <w:tmpl w:val="41B2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373047"/>
    <w:multiLevelType w:val="hybridMultilevel"/>
    <w:tmpl w:val="89B6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46CA4"/>
    <w:multiLevelType w:val="hybridMultilevel"/>
    <w:tmpl w:val="3E84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4087E"/>
    <w:multiLevelType w:val="hybridMultilevel"/>
    <w:tmpl w:val="FF7CE4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6"/>
  </w:num>
  <w:num w:numId="5">
    <w:abstractNumId w:val="14"/>
  </w:num>
  <w:num w:numId="6">
    <w:abstractNumId w:val="5"/>
  </w:num>
  <w:num w:numId="7">
    <w:abstractNumId w:val="7"/>
  </w:num>
  <w:num w:numId="8">
    <w:abstractNumId w:val="3"/>
  </w:num>
  <w:num w:numId="9">
    <w:abstractNumId w:val="0"/>
  </w:num>
  <w:num w:numId="10">
    <w:abstractNumId w:val="17"/>
  </w:num>
  <w:num w:numId="11">
    <w:abstractNumId w:val="13"/>
  </w:num>
  <w:num w:numId="12">
    <w:abstractNumId w:val="4"/>
  </w:num>
  <w:num w:numId="13">
    <w:abstractNumId w:val="8"/>
  </w:num>
  <w:num w:numId="14">
    <w:abstractNumId w:val="11"/>
  </w:num>
  <w:num w:numId="15">
    <w:abstractNumId w:val="12"/>
  </w:num>
  <w:num w:numId="16">
    <w:abstractNumId w:val="9"/>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8D"/>
    <w:rsid w:val="0001359F"/>
    <w:rsid w:val="00023575"/>
    <w:rsid w:val="00027575"/>
    <w:rsid w:val="0004154E"/>
    <w:rsid w:val="000420CF"/>
    <w:rsid w:val="00044571"/>
    <w:rsid w:val="00071093"/>
    <w:rsid w:val="00072487"/>
    <w:rsid w:val="0009037F"/>
    <w:rsid w:val="00093F6C"/>
    <w:rsid w:val="000A2C29"/>
    <w:rsid w:val="000A4BC8"/>
    <w:rsid w:val="000C2F7F"/>
    <w:rsid w:val="000C699B"/>
    <w:rsid w:val="000D0F89"/>
    <w:rsid w:val="000D1495"/>
    <w:rsid w:val="0010696A"/>
    <w:rsid w:val="00110153"/>
    <w:rsid w:val="001331C4"/>
    <w:rsid w:val="00134799"/>
    <w:rsid w:val="00146400"/>
    <w:rsid w:val="00187EA9"/>
    <w:rsid w:val="00196ED1"/>
    <w:rsid w:val="00197000"/>
    <w:rsid w:val="001A1CCF"/>
    <w:rsid w:val="001B0E41"/>
    <w:rsid w:val="001F7CD0"/>
    <w:rsid w:val="002216FF"/>
    <w:rsid w:val="00223D0A"/>
    <w:rsid w:val="00233402"/>
    <w:rsid w:val="00243D72"/>
    <w:rsid w:val="002533D3"/>
    <w:rsid w:val="0027010E"/>
    <w:rsid w:val="00273CCD"/>
    <w:rsid w:val="00285C5A"/>
    <w:rsid w:val="0028603C"/>
    <w:rsid w:val="00290196"/>
    <w:rsid w:val="00296079"/>
    <w:rsid w:val="002A5212"/>
    <w:rsid w:val="002A58C6"/>
    <w:rsid w:val="002C129A"/>
    <w:rsid w:val="003103AE"/>
    <w:rsid w:val="00327F39"/>
    <w:rsid w:val="00345C82"/>
    <w:rsid w:val="00345E0C"/>
    <w:rsid w:val="00347D4A"/>
    <w:rsid w:val="00374150"/>
    <w:rsid w:val="00375785"/>
    <w:rsid w:val="00382C9B"/>
    <w:rsid w:val="00386552"/>
    <w:rsid w:val="003934E0"/>
    <w:rsid w:val="003D07A7"/>
    <w:rsid w:val="003F6B32"/>
    <w:rsid w:val="0040210F"/>
    <w:rsid w:val="00405308"/>
    <w:rsid w:val="004116AA"/>
    <w:rsid w:val="004414E5"/>
    <w:rsid w:val="00464403"/>
    <w:rsid w:val="00470030"/>
    <w:rsid w:val="004715A6"/>
    <w:rsid w:val="004718B9"/>
    <w:rsid w:val="0049139F"/>
    <w:rsid w:val="004A6308"/>
    <w:rsid w:val="004A79A7"/>
    <w:rsid w:val="004C08E3"/>
    <w:rsid w:val="004C1C17"/>
    <w:rsid w:val="004D1055"/>
    <w:rsid w:val="004D1E47"/>
    <w:rsid w:val="004D55F1"/>
    <w:rsid w:val="004D7409"/>
    <w:rsid w:val="004E1630"/>
    <w:rsid w:val="004E3C50"/>
    <w:rsid w:val="004F1250"/>
    <w:rsid w:val="005015CA"/>
    <w:rsid w:val="00505C42"/>
    <w:rsid w:val="005173CA"/>
    <w:rsid w:val="0055502D"/>
    <w:rsid w:val="00561575"/>
    <w:rsid w:val="00574CB2"/>
    <w:rsid w:val="005A0BF9"/>
    <w:rsid w:val="005A5351"/>
    <w:rsid w:val="005C710C"/>
    <w:rsid w:val="005D19A2"/>
    <w:rsid w:val="005E4051"/>
    <w:rsid w:val="00603367"/>
    <w:rsid w:val="006107B3"/>
    <w:rsid w:val="00621EAF"/>
    <w:rsid w:val="00625163"/>
    <w:rsid w:val="00660E64"/>
    <w:rsid w:val="0066606E"/>
    <w:rsid w:val="00672F1F"/>
    <w:rsid w:val="00673791"/>
    <w:rsid w:val="00683D9F"/>
    <w:rsid w:val="00691136"/>
    <w:rsid w:val="00692870"/>
    <w:rsid w:val="00694F27"/>
    <w:rsid w:val="00696414"/>
    <w:rsid w:val="006A024F"/>
    <w:rsid w:val="006C153F"/>
    <w:rsid w:val="006D605E"/>
    <w:rsid w:val="006F7D73"/>
    <w:rsid w:val="00714D55"/>
    <w:rsid w:val="00717CB2"/>
    <w:rsid w:val="00734995"/>
    <w:rsid w:val="00752EA3"/>
    <w:rsid w:val="00772E00"/>
    <w:rsid w:val="007A39E2"/>
    <w:rsid w:val="007A56D8"/>
    <w:rsid w:val="007B6E39"/>
    <w:rsid w:val="007D2AA9"/>
    <w:rsid w:val="007D65B1"/>
    <w:rsid w:val="007E5971"/>
    <w:rsid w:val="007F28C8"/>
    <w:rsid w:val="008039E6"/>
    <w:rsid w:val="00811EEE"/>
    <w:rsid w:val="00844EF2"/>
    <w:rsid w:val="00881610"/>
    <w:rsid w:val="00883958"/>
    <w:rsid w:val="00885C8D"/>
    <w:rsid w:val="008865E3"/>
    <w:rsid w:val="00891441"/>
    <w:rsid w:val="008A3B5D"/>
    <w:rsid w:val="008A6F2F"/>
    <w:rsid w:val="008E2B19"/>
    <w:rsid w:val="008E468F"/>
    <w:rsid w:val="00910007"/>
    <w:rsid w:val="009212FD"/>
    <w:rsid w:val="0092674B"/>
    <w:rsid w:val="00930B6E"/>
    <w:rsid w:val="00930BD0"/>
    <w:rsid w:val="00931F47"/>
    <w:rsid w:val="00932D3E"/>
    <w:rsid w:val="00963014"/>
    <w:rsid w:val="00966F79"/>
    <w:rsid w:val="009712B6"/>
    <w:rsid w:val="00972AB5"/>
    <w:rsid w:val="00992FA2"/>
    <w:rsid w:val="009B041F"/>
    <w:rsid w:val="009B105E"/>
    <w:rsid w:val="009B1D0E"/>
    <w:rsid w:val="009B49AE"/>
    <w:rsid w:val="009E32B9"/>
    <w:rsid w:val="009E560C"/>
    <w:rsid w:val="00A04F17"/>
    <w:rsid w:val="00A12932"/>
    <w:rsid w:val="00A23E83"/>
    <w:rsid w:val="00A413EA"/>
    <w:rsid w:val="00A70476"/>
    <w:rsid w:val="00A8436C"/>
    <w:rsid w:val="00A94437"/>
    <w:rsid w:val="00AB0EA3"/>
    <w:rsid w:val="00AB5A10"/>
    <w:rsid w:val="00AE662C"/>
    <w:rsid w:val="00AF375D"/>
    <w:rsid w:val="00B0167E"/>
    <w:rsid w:val="00B21804"/>
    <w:rsid w:val="00B31338"/>
    <w:rsid w:val="00B32E1C"/>
    <w:rsid w:val="00B47B84"/>
    <w:rsid w:val="00B6241C"/>
    <w:rsid w:val="00B71957"/>
    <w:rsid w:val="00B80AE2"/>
    <w:rsid w:val="00B90E39"/>
    <w:rsid w:val="00BB2AA7"/>
    <w:rsid w:val="00BB6694"/>
    <w:rsid w:val="00BC4F8C"/>
    <w:rsid w:val="00BD5BD4"/>
    <w:rsid w:val="00BE3F54"/>
    <w:rsid w:val="00BE61F9"/>
    <w:rsid w:val="00BE7F64"/>
    <w:rsid w:val="00C1392A"/>
    <w:rsid w:val="00C21DD4"/>
    <w:rsid w:val="00C42064"/>
    <w:rsid w:val="00C4380E"/>
    <w:rsid w:val="00C55EA9"/>
    <w:rsid w:val="00C64836"/>
    <w:rsid w:val="00C74F55"/>
    <w:rsid w:val="00C80E58"/>
    <w:rsid w:val="00C83E20"/>
    <w:rsid w:val="00CA7924"/>
    <w:rsid w:val="00CB4491"/>
    <w:rsid w:val="00CB496F"/>
    <w:rsid w:val="00CC5555"/>
    <w:rsid w:val="00CF766F"/>
    <w:rsid w:val="00D00BDE"/>
    <w:rsid w:val="00D05AD4"/>
    <w:rsid w:val="00D153FB"/>
    <w:rsid w:val="00D306D3"/>
    <w:rsid w:val="00D43B3C"/>
    <w:rsid w:val="00D5147B"/>
    <w:rsid w:val="00D52658"/>
    <w:rsid w:val="00D53EFB"/>
    <w:rsid w:val="00D551E5"/>
    <w:rsid w:val="00D70CFB"/>
    <w:rsid w:val="00D74D56"/>
    <w:rsid w:val="00DA2479"/>
    <w:rsid w:val="00DA2CAF"/>
    <w:rsid w:val="00DC1E07"/>
    <w:rsid w:val="00DD520D"/>
    <w:rsid w:val="00DD7438"/>
    <w:rsid w:val="00DE1552"/>
    <w:rsid w:val="00DF596C"/>
    <w:rsid w:val="00E209F3"/>
    <w:rsid w:val="00E2301C"/>
    <w:rsid w:val="00E55436"/>
    <w:rsid w:val="00E57FCE"/>
    <w:rsid w:val="00E719E2"/>
    <w:rsid w:val="00E91303"/>
    <w:rsid w:val="00EA1B6D"/>
    <w:rsid w:val="00EB5B64"/>
    <w:rsid w:val="00ED45CB"/>
    <w:rsid w:val="00F10BAC"/>
    <w:rsid w:val="00F12A04"/>
    <w:rsid w:val="00F14C61"/>
    <w:rsid w:val="00F25B24"/>
    <w:rsid w:val="00F27D8A"/>
    <w:rsid w:val="00F32C61"/>
    <w:rsid w:val="00F36FB5"/>
    <w:rsid w:val="00F44EB5"/>
    <w:rsid w:val="00F46E7D"/>
    <w:rsid w:val="00F772B8"/>
    <w:rsid w:val="00F776BD"/>
    <w:rsid w:val="00FC452B"/>
    <w:rsid w:val="00FC7A11"/>
    <w:rsid w:val="00FE7AAF"/>
    <w:rsid w:val="1B9B0AC3"/>
    <w:rsid w:val="2E5E7CCA"/>
    <w:rsid w:val="3F1CF3D5"/>
    <w:rsid w:val="42F80614"/>
    <w:rsid w:val="498453C1"/>
    <w:rsid w:val="53C17CE9"/>
    <w:rsid w:val="564DB826"/>
    <w:rsid w:val="7918B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E2B"/>
  <w15:chartTrackingRefBased/>
  <w15:docId w15:val="{BD00843A-F855-4245-B6B0-45D239C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56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87"/>
    <w:pPr>
      <w:ind w:left="720"/>
      <w:contextualSpacing/>
    </w:pPr>
  </w:style>
  <w:style w:type="character" w:styleId="Hyperlink">
    <w:name w:val="Hyperlink"/>
    <w:basedOn w:val="DefaultParagraphFont"/>
    <w:uiPriority w:val="99"/>
    <w:unhideWhenUsed/>
    <w:rsid w:val="004C08E3"/>
    <w:rPr>
      <w:color w:val="0563C1" w:themeColor="hyperlink"/>
      <w:u w:val="single"/>
    </w:rPr>
  </w:style>
  <w:style w:type="character" w:customStyle="1" w:styleId="Heading1Char">
    <w:name w:val="Heading 1 Char"/>
    <w:basedOn w:val="DefaultParagraphFont"/>
    <w:link w:val="Heading1"/>
    <w:uiPriority w:val="9"/>
    <w:rsid w:val="007A56D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5E3"/>
    <w:rPr>
      <w:rFonts w:ascii="Segoe UI" w:hAnsi="Segoe UI" w:cs="Segoe UI"/>
      <w:sz w:val="18"/>
      <w:szCs w:val="18"/>
    </w:rPr>
  </w:style>
  <w:style w:type="character" w:styleId="CommentReference">
    <w:name w:val="annotation reference"/>
    <w:basedOn w:val="DefaultParagraphFont"/>
    <w:uiPriority w:val="99"/>
    <w:semiHidden/>
    <w:unhideWhenUsed/>
    <w:rsid w:val="00E91303"/>
    <w:rPr>
      <w:sz w:val="16"/>
      <w:szCs w:val="16"/>
    </w:rPr>
  </w:style>
  <w:style w:type="paragraph" w:styleId="CommentText">
    <w:name w:val="annotation text"/>
    <w:basedOn w:val="Normal"/>
    <w:link w:val="CommentTextChar"/>
    <w:uiPriority w:val="99"/>
    <w:semiHidden/>
    <w:unhideWhenUsed/>
    <w:rsid w:val="00E91303"/>
    <w:pPr>
      <w:spacing w:line="240" w:lineRule="auto"/>
    </w:pPr>
    <w:rPr>
      <w:sz w:val="20"/>
      <w:szCs w:val="20"/>
    </w:rPr>
  </w:style>
  <w:style w:type="character" w:customStyle="1" w:styleId="CommentTextChar">
    <w:name w:val="Comment Text Char"/>
    <w:basedOn w:val="DefaultParagraphFont"/>
    <w:link w:val="CommentText"/>
    <w:uiPriority w:val="99"/>
    <w:semiHidden/>
    <w:rsid w:val="00E91303"/>
    <w:rPr>
      <w:sz w:val="20"/>
      <w:szCs w:val="20"/>
    </w:rPr>
  </w:style>
  <w:style w:type="paragraph" w:styleId="CommentSubject">
    <w:name w:val="annotation subject"/>
    <w:basedOn w:val="CommentText"/>
    <w:next w:val="CommentText"/>
    <w:link w:val="CommentSubjectChar"/>
    <w:uiPriority w:val="99"/>
    <w:semiHidden/>
    <w:unhideWhenUsed/>
    <w:rsid w:val="00E91303"/>
    <w:rPr>
      <w:b/>
      <w:bCs/>
    </w:rPr>
  </w:style>
  <w:style w:type="character" w:customStyle="1" w:styleId="CommentSubjectChar">
    <w:name w:val="Comment Subject Char"/>
    <w:basedOn w:val="CommentTextChar"/>
    <w:link w:val="CommentSubject"/>
    <w:uiPriority w:val="99"/>
    <w:semiHidden/>
    <w:rsid w:val="00E91303"/>
    <w:rPr>
      <w:b/>
      <w:bCs/>
      <w:sz w:val="20"/>
      <w:szCs w:val="20"/>
    </w:rPr>
  </w:style>
  <w:style w:type="character" w:styleId="Emphasis">
    <w:name w:val="Emphasis"/>
    <w:basedOn w:val="DefaultParagraphFont"/>
    <w:uiPriority w:val="20"/>
    <w:qFormat/>
    <w:rsid w:val="00F12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3573">
      <w:bodyDiv w:val="1"/>
      <w:marLeft w:val="0"/>
      <w:marRight w:val="0"/>
      <w:marTop w:val="0"/>
      <w:marBottom w:val="0"/>
      <w:divBdr>
        <w:top w:val="none" w:sz="0" w:space="0" w:color="auto"/>
        <w:left w:val="none" w:sz="0" w:space="0" w:color="auto"/>
        <w:bottom w:val="none" w:sz="0" w:space="0" w:color="auto"/>
        <w:right w:val="none" w:sz="0" w:space="0" w:color="auto"/>
      </w:divBdr>
    </w:div>
    <w:div w:id="743917381">
      <w:bodyDiv w:val="1"/>
      <w:marLeft w:val="0"/>
      <w:marRight w:val="0"/>
      <w:marTop w:val="0"/>
      <w:marBottom w:val="0"/>
      <w:divBdr>
        <w:top w:val="none" w:sz="0" w:space="0" w:color="auto"/>
        <w:left w:val="none" w:sz="0" w:space="0" w:color="auto"/>
        <w:bottom w:val="none" w:sz="0" w:space="0" w:color="auto"/>
        <w:right w:val="none" w:sz="0" w:space="0" w:color="auto"/>
      </w:divBdr>
    </w:div>
    <w:div w:id="1089078559">
      <w:bodyDiv w:val="1"/>
      <w:marLeft w:val="0"/>
      <w:marRight w:val="0"/>
      <w:marTop w:val="0"/>
      <w:marBottom w:val="0"/>
      <w:divBdr>
        <w:top w:val="none" w:sz="0" w:space="0" w:color="auto"/>
        <w:left w:val="none" w:sz="0" w:space="0" w:color="auto"/>
        <w:bottom w:val="none" w:sz="0" w:space="0" w:color="auto"/>
        <w:right w:val="none" w:sz="0" w:space="0" w:color="auto"/>
      </w:divBdr>
    </w:div>
    <w:div w:id="1117262935">
      <w:bodyDiv w:val="1"/>
      <w:marLeft w:val="0"/>
      <w:marRight w:val="0"/>
      <w:marTop w:val="0"/>
      <w:marBottom w:val="0"/>
      <w:divBdr>
        <w:top w:val="none" w:sz="0" w:space="0" w:color="auto"/>
        <w:left w:val="none" w:sz="0" w:space="0" w:color="auto"/>
        <w:bottom w:val="none" w:sz="0" w:space="0" w:color="auto"/>
        <w:right w:val="none" w:sz="0" w:space="0" w:color="auto"/>
      </w:divBdr>
    </w:div>
    <w:div w:id="21050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ramedicplacements@gcu.ac.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1B7ABF1E2FF4B96A9CDD1C113D637" ma:contentTypeVersion="15" ma:contentTypeDescription="Create a new document." ma:contentTypeScope="" ma:versionID="c38604ec64a12beca12d2ae6e8028f66">
  <xsd:schema xmlns:xsd="http://www.w3.org/2001/XMLSchema" xmlns:xs="http://www.w3.org/2001/XMLSchema" xmlns:p="http://schemas.microsoft.com/office/2006/metadata/properties" xmlns:ns2="42fa251b-f9fa-49de-b9b8-6acd970a1954" xmlns:ns3="a8b26a15-130b-4aeb-b167-d0b85a2db548" targetNamespace="http://schemas.microsoft.com/office/2006/metadata/properties" ma:root="true" ma:fieldsID="7ea9f920b8f381ee2a9df5c20eabe107" ns2:_="" ns3:_="">
    <xsd:import namespace="42fa251b-f9fa-49de-b9b8-6acd970a1954"/>
    <xsd:import namespace="a8b26a15-130b-4aeb-b167-d0b85a2db5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a251b-f9fa-49de-b9b8-6acd970a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8c17a2-a205-424a-a7c0-06792d0f40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6a15-130b-4aeb-b167-d0b85a2db5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c48e51-8dd2-4d05-a714-cbad952a3319}" ma:internalName="TaxCatchAll" ma:showField="CatchAllData" ma:web="a8b26a15-130b-4aeb-b167-d0b85a2db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b26a15-130b-4aeb-b167-d0b85a2db548">
      <UserInfo>
        <DisplayName>NES AHP Practice Education Network Members</DisplayName>
        <AccountId>19</AccountId>
        <AccountType/>
      </UserInfo>
    </SharedWithUsers>
    <lcf76f155ced4ddcb4097134ff3c332f xmlns="42fa251b-f9fa-49de-b9b8-6acd970a1954">
      <Terms xmlns="http://schemas.microsoft.com/office/infopath/2007/PartnerControls"/>
    </lcf76f155ced4ddcb4097134ff3c332f>
    <TaxCatchAll xmlns="a8b26a15-130b-4aeb-b167-d0b85a2db5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C42D-10EF-451E-9907-A0ECB598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a251b-f9fa-49de-b9b8-6acd970a1954"/>
    <ds:schemaRef ds:uri="a8b26a15-130b-4aeb-b167-d0b85a2d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1D70B-F74D-476E-BE8B-8B2309506AED}">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42fa251b-f9fa-49de-b9b8-6acd970a1954"/>
    <ds:schemaRef ds:uri="http://schemas.microsoft.com/office/infopath/2007/PartnerControls"/>
    <ds:schemaRef ds:uri="http://schemas.openxmlformats.org/package/2006/metadata/core-properties"/>
    <ds:schemaRef ds:uri="a8b26a15-130b-4aeb-b167-d0b85a2db548"/>
    <ds:schemaRef ds:uri="http://www.w3.org/XML/1998/namespace"/>
  </ds:schemaRefs>
</ds:datastoreItem>
</file>

<file path=customXml/itemProps3.xml><?xml version="1.0" encoding="utf-8"?>
<ds:datastoreItem xmlns:ds="http://schemas.openxmlformats.org/officeDocument/2006/customXml" ds:itemID="{624DA3E6-2933-4535-ADCC-9D2C4E20FF32}">
  <ds:schemaRefs>
    <ds:schemaRef ds:uri="http://schemas.microsoft.com/sharepoint/v3/contenttype/forms"/>
  </ds:schemaRefs>
</ds:datastoreItem>
</file>

<file path=customXml/itemProps4.xml><?xml version="1.0" encoding="utf-8"?>
<ds:datastoreItem xmlns:ds="http://schemas.openxmlformats.org/officeDocument/2006/customXml" ds:itemID="{5D668638-FDC0-4A25-B352-BF62DEAB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Samantha</dc:creator>
  <cp:keywords/>
  <dc:description/>
  <cp:lastModifiedBy>Hamilton, Susan</cp:lastModifiedBy>
  <cp:revision>2</cp:revision>
  <cp:lastPrinted>2022-12-13T11:46:00Z</cp:lastPrinted>
  <dcterms:created xsi:type="dcterms:W3CDTF">2025-04-14T07:15:00Z</dcterms:created>
  <dcterms:modified xsi:type="dcterms:W3CDTF">2025-04-14T07:15:00Z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0x010100A5B1B7ABF1E2FF4B96A9CDD1C113D637</vt:lpwstr>
  </property>
  <property fmtid="{D5CDD505-2E9C-101B-9397-08002B2CF9AE}" pid="3" name="MediaServiceImageTags">
    <vt:lpwstr/>
  </property>
</Properties>
</file>