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5C" w:rsidRPr="002F625C" w:rsidRDefault="002F625C" w:rsidP="002F625C">
      <w:pPr>
        <w:rPr>
          <w:b/>
          <w:sz w:val="28"/>
          <w:szCs w:val="28"/>
        </w:rPr>
      </w:pPr>
      <w:bookmarkStart w:id="0" w:name="_GoBack"/>
      <w:bookmarkEnd w:id="0"/>
      <w:r w:rsidRPr="002F625C">
        <w:rPr>
          <w:b/>
          <w:sz w:val="28"/>
          <w:szCs w:val="28"/>
        </w:rPr>
        <w:t xml:space="preserve">Key things to note: </w:t>
      </w:r>
    </w:p>
    <w:p w:rsidR="002F625C" w:rsidRPr="00A07234" w:rsidRDefault="002F625C" w:rsidP="002F625C">
      <w:pPr>
        <w:numPr>
          <w:ilvl w:val="0"/>
          <w:numId w:val="2"/>
        </w:numPr>
        <w:kinsoku w:val="0"/>
        <w:overflowPunct w:val="0"/>
        <w:spacing w:after="40" w:line="216" w:lineRule="auto"/>
        <w:ind w:left="709" w:hanging="425"/>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The HCW cleaning the PAPR system must only do so in the designated cleaning area. </w:t>
      </w:r>
    </w:p>
    <w:p w:rsidR="004B7B1D" w:rsidRPr="004B7B1D" w:rsidRDefault="004B7B1D" w:rsidP="002F625C">
      <w:pPr>
        <w:numPr>
          <w:ilvl w:val="0"/>
          <w:numId w:val="2"/>
        </w:numPr>
        <w:kinsoku w:val="0"/>
        <w:overflowPunct w:val="0"/>
        <w:spacing w:after="40" w:line="240" w:lineRule="auto"/>
        <w:ind w:left="709" w:hanging="425"/>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The HCW must be wearing a clean apron, gloves, FRSM </w:t>
      </w:r>
      <w:r>
        <w:rPr>
          <w:rFonts w:eastAsia="Times New Roman"/>
          <w:color w:val="000000"/>
          <w:kern w:val="24"/>
          <w:sz w:val="28"/>
          <w:szCs w:val="28"/>
          <w:lang w:eastAsia="en-GB"/>
        </w:rPr>
        <w:t>(</w:t>
      </w:r>
      <w:r w:rsidRPr="00A07234">
        <w:rPr>
          <w:rFonts w:eastAsia="Times New Roman"/>
          <w:color w:val="000000"/>
          <w:kern w:val="24"/>
          <w:sz w:val="28"/>
          <w:szCs w:val="28"/>
          <w:lang w:eastAsia="en-GB"/>
        </w:rPr>
        <w:t>and visor</w:t>
      </w:r>
      <w:r>
        <w:rPr>
          <w:rFonts w:eastAsia="Times New Roman"/>
          <w:color w:val="000000"/>
          <w:kern w:val="24"/>
          <w:sz w:val="28"/>
          <w:szCs w:val="28"/>
          <w:lang w:eastAsia="en-GB"/>
        </w:rPr>
        <w:t xml:space="preserve"> if required)</w:t>
      </w:r>
      <w:r w:rsidRPr="00A07234">
        <w:rPr>
          <w:rFonts w:eastAsia="Times New Roman"/>
          <w:color w:val="000000"/>
          <w:kern w:val="24"/>
          <w:sz w:val="28"/>
          <w:szCs w:val="28"/>
          <w:lang w:eastAsia="en-GB"/>
        </w:rPr>
        <w:t xml:space="preserve"> to undertake the following procedures </w:t>
      </w:r>
    </w:p>
    <w:p w:rsidR="002F625C" w:rsidRPr="00A07234" w:rsidRDefault="004B7B1D" w:rsidP="002F625C">
      <w:pPr>
        <w:numPr>
          <w:ilvl w:val="0"/>
          <w:numId w:val="2"/>
        </w:numPr>
        <w:kinsoku w:val="0"/>
        <w:overflowPunct w:val="0"/>
        <w:spacing w:after="40" w:line="240" w:lineRule="auto"/>
        <w:ind w:left="709" w:hanging="425"/>
        <w:textAlignment w:val="baseline"/>
        <w:rPr>
          <w:rFonts w:ascii="Times New Roman" w:eastAsia="Times New Roman" w:hAnsi="Times New Roman"/>
          <w:sz w:val="28"/>
          <w:szCs w:val="28"/>
          <w:lang w:eastAsia="en-GB"/>
        </w:rPr>
      </w:pPr>
      <w:r>
        <w:rPr>
          <w:rFonts w:eastAsia="Times New Roman"/>
          <w:color w:val="000000"/>
          <w:kern w:val="24"/>
          <w:sz w:val="28"/>
          <w:szCs w:val="28"/>
          <w:lang w:eastAsia="en-GB"/>
        </w:rPr>
        <w:t>E</w:t>
      </w:r>
      <w:r w:rsidR="002F625C" w:rsidRPr="00A07234">
        <w:rPr>
          <w:rFonts w:eastAsia="Times New Roman"/>
          <w:color w:val="000000"/>
          <w:kern w:val="24"/>
          <w:sz w:val="28"/>
          <w:szCs w:val="28"/>
          <w:lang w:eastAsia="en-GB"/>
        </w:rPr>
        <w:t xml:space="preserve">ither the Green Clinell Universal Disinfectant Wipes OR Actichlor Plus </w:t>
      </w:r>
      <w:r>
        <w:rPr>
          <w:rFonts w:eastAsia="Times New Roman"/>
          <w:color w:val="000000"/>
          <w:kern w:val="24"/>
          <w:sz w:val="28"/>
          <w:szCs w:val="28"/>
          <w:lang w:eastAsia="en-GB"/>
        </w:rPr>
        <w:t>(1,000ppm</w:t>
      </w:r>
      <w:r w:rsidR="005E0A03">
        <w:rPr>
          <w:rFonts w:eastAsia="Times New Roman"/>
          <w:color w:val="000000"/>
          <w:kern w:val="24"/>
          <w:sz w:val="28"/>
          <w:szCs w:val="28"/>
          <w:lang w:eastAsia="en-GB"/>
        </w:rPr>
        <w:t>, contact time 5 minutes</w:t>
      </w:r>
      <w:r>
        <w:rPr>
          <w:rFonts w:eastAsia="Times New Roman"/>
          <w:color w:val="000000"/>
          <w:kern w:val="24"/>
          <w:sz w:val="28"/>
          <w:szCs w:val="28"/>
          <w:lang w:eastAsia="en-GB"/>
        </w:rPr>
        <w:t xml:space="preserve">) </w:t>
      </w:r>
      <w:r w:rsidR="002F625C" w:rsidRPr="00A07234">
        <w:rPr>
          <w:rFonts w:eastAsia="Times New Roman"/>
          <w:color w:val="000000"/>
          <w:kern w:val="24"/>
          <w:sz w:val="28"/>
          <w:szCs w:val="28"/>
          <w:lang w:eastAsia="en-GB"/>
        </w:rPr>
        <w:t xml:space="preserve">must be used. </w:t>
      </w:r>
      <w:r w:rsidRPr="00A07234">
        <w:rPr>
          <w:rFonts w:eastAsia="Times New Roman"/>
          <w:color w:val="000000"/>
          <w:kern w:val="24"/>
          <w:sz w:val="28"/>
          <w:szCs w:val="28"/>
          <w:lang w:eastAsia="en-GB"/>
        </w:rPr>
        <w:t>Actichlor Plus should be wiped off using either the yellow or Green Clinell wipes.</w:t>
      </w:r>
    </w:p>
    <w:p w:rsidR="002F625C" w:rsidRPr="00A07234" w:rsidRDefault="004B7B1D" w:rsidP="00AF37B1">
      <w:pPr>
        <w:numPr>
          <w:ilvl w:val="0"/>
          <w:numId w:val="2"/>
        </w:numPr>
        <w:kinsoku w:val="0"/>
        <w:overflowPunct w:val="0"/>
        <w:spacing w:after="40" w:line="216" w:lineRule="auto"/>
        <w:ind w:left="709" w:right="-24" w:hanging="425"/>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If there are </w:t>
      </w:r>
      <w:r w:rsidRPr="004B7B1D">
        <w:rPr>
          <w:rFonts w:eastAsia="Times New Roman"/>
          <w:b/>
          <w:color w:val="000000"/>
          <w:kern w:val="24"/>
          <w:sz w:val="28"/>
          <w:szCs w:val="28"/>
          <w:lang w:eastAsia="en-GB"/>
        </w:rPr>
        <w:t>s</w:t>
      </w:r>
      <w:r w:rsidR="002F625C" w:rsidRPr="004B7B1D">
        <w:rPr>
          <w:rFonts w:eastAsia="Times New Roman"/>
          <w:b/>
          <w:color w:val="000000"/>
          <w:kern w:val="24"/>
          <w:sz w:val="28"/>
          <w:szCs w:val="28"/>
          <w:lang w:eastAsia="en-GB"/>
        </w:rPr>
        <w:t>mall splashes of blood</w:t>
      </w:r>
      <w:r w:rsidR="002F625C" w:rsidRPr="00A07234">
        <w:rPr>
          <w:rFonts w:eastAsia="Times New Roman"/>
          <w:color w:val="000000"/>
          <w:kern w:val="24"/>
          <w:sz w:val="28"/>
          <w:szCs w:val="28"/>
          <w:lang w:eastAsia="en-GB"/>
        </w:rPr>
        <w:t xml:space="preserve">: use </w:t>
      </w:r>
      <w:r>
        <w:rPr>
          <w:rFonts w:eastAsia="Times New Roman"/>
          <w:color w:val="000000"/>
          <w:kern w:val="24"/>
          <w:sz w:val="28"/>
          <w:szCs w:val="28"/>
          <w:lang w:eastAsia="en-GB"/>
        </w:rPr>
        <w:t xml:space="preserve">solution of Actichlor Plus </w:t>
      </w:r>
      <w:r w:rsidR="002F625C" w:rsidRPr="00A07234">
        <w:rPr>
          <w:rFonts w:eastAsia="Times New Roman"/>
          <w:color w:val="000000"/>
          <w:kern w:val="24"/>
          <w:sz w:val="28"/>
          <w:szCs w:val="28"/>
          <w:lang w:eastAsia="en-GB"/>
        </w:rPr>
        <w:t>a</w:t>
      </w:r>
      <w:r>
        <w:rPr>
          <w:rFonts w:eastAsia="Times New Roman"/>
          <w:color w:val="000000"/>
          <w:kern w:val="24"/>
          <w:sz w:val="28"/>
          <w:szCs w:val="28"/>
          <w:lang w:eastAsia="en-GB"/>
        </w:rPr>
        <w:t>t</w:t>
      </w:r>
      <w:r w:rsidR="002F625C" w:rsidRPr="00A07234">
        <w:rPr>
          <w:rFonts w:eastAsia="Times New Roman"/>
          <w:color w:val="000000"/>
          <w:kern w:val="24"/>
          <w:sz w:val="28"/>
          <w:szCs w:val="28"/>
          <w:lang w:eastAsia="en-GB"/>
        </w:rPr>
        <w:t xml:space="preserve"> 10,000 pp</w:t>
      </w:r>
      <w:r w:rsidR="002F625C">
        <w:rPr>
          <w:rFonts w:eastAsia="Times New Roman"/>
          <w:color w:val="000000"/>
          <w:kern w:val="24"/>
          <w:sz w:val="28"/>
          <w:szCs w:val="28"/>
          <w:lang w:eastAsia="en-GB"/>
        </w:rPr>
        <w:t>m</w:t>
      </w:r>
      <w:r w:rsidR="005E0A03">
        <w:rPr>
          <w:rFonts w:eastAsia="Times New Roman"/>
          <w:color w:val="000000"/>
          <w:kern w:val="24"/>
          <w:sz w:val="28"/>
          <w:szCs w:val="28"/>
          <w:lang w:eastAsia="en-GB"/>
        </w:rPr>
        <w:t>, (contact time 3 minutes)</w:t>
      </w:r>
      <w:r w:rsidR="002F625C">
        <w:rPr>
          <w:rFonts w:eastAsia="Times New Roman"/>
          <w:color w:val="000000"/>
          <w:kern w:val="24"/>
          <w:sz w:val="28"/>
          <w:szCs w:val="28"/>
          <w:lang w:eastAsia="en-GB"/>
        </w:rPr>
        <w:t xml:space="preserve"> to </w:t>
      </w:r>
      <w:r w:rsidR="005E0A03">
        <w:rPr>
          <w:rFonts w:eastAsia="Times New Roman"/>
          <w:color w:val="000000"/>
          <w:kern w:val="24"/>
          <w:sz w:val="28"/>
          <w:szCs w:val="28"/>
          <w:lang w:eastAsia="en-GB"/>
        </w:rPr>
        <w:t>decontaminate the hood.</w:t>
      </w:r>
      <w:r w:rsidR="002F625C" w:rsidRPr="00A07234">
        <w:rPr>
          <w:rFonts w:eastAsia="Times New Roman"/>
          <w:color w:val="000000"/>
          <w:kern w:val="24"/>
          <w:sz w:val="28"/>
          <w:szCs w:val="28"/>
          <w:lang w:eastAsia="en-GB"/>
        </w:rPr>
        <w:t xml:space="preserve"> </w:t>
      </w:r>
    </w:p>
    <w:p w:rsidR="004B7B1D" w:rsidRPr="00A07234" w:rsidRDefault="004B7B1D" w:rsidP="004B7B1D">
      <w:pPr>
        <w:numPr>
          <w:ilvl w:val="0"/>
          <w:numId w:val="2"/>
        </w:numPr>
        <w:kinsoku w:val="0"/>
        <w:overflowPunct w:val="0"/>
        <w:spacing w:after="40" w:line="216" w:lineRule="auto"/>
        <w:ind w:left="1267" w:hanging="983"/>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If there is a large amount of blood on the hood, please discard. </w:t>
      </w:r>
    </w:p>
    <w:tbl>
      <w:tblPr>
        <w:tblpPr w:leftFromText="180" w:rightFromText="180" w:vertAnchor="text" w:horzAnchor="margin" w:tblpY="260"/>
        <w:tblW w:w="10348" w:type="dxa"/>
        <w:tblCellMar>
          <w:left w:w="0" w:type="dxa"/>
          <w:right w:w="0" w:type="dxa"/>
        </w:tblCellMar>
        <w:tblLook w:val="04A0" w:firstRow="1" w:lastRow="0" w:firstColumn="1" w:lastColumn="0" w:noHBand="0" w:noVBand="1"/>
      </w:tblPr>
      <w:tblGrid>
        <w:gridCol w:w="10348"/>
      </w:tblGrid>
      <w:tr w:rsidR="002F625C" w:rsidRPr="00A07234" w:rsidTr="002F625C">
        <w:trPr>
          <w:trHeight w:val="1474"/>
        </w:trPr>
        <w:tc>
          <w:tcPr>
            <w:tcW w:w="10348" w:type="dxa"/>
            <w:tcBorders>
              <w:top w:val="single" w:sz="8" w:space="0" w:color="FFFFFF"/>
              <w:left w:val="single" w:sz="8" w:space="0" w:color="FFFFFF"/>
              <w:bottom w:val="single" w:sz="24"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 xml:space="preserve">To clean the hose: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 xml:space="preserve">Disconnect the hose and inspect hose connections for dirt/debris and then clean ensuring that each of the grooves the entire length of the hose are cleaned thoroughly. Discard the wipe. Set aside the hose in a clean area to dry.   </w:t>
            </w:r>
          </w:p>
        </w:tc>
      </w:tr>
      <w:tr w:rsidR="002F625C" w:rsidRPr="00A07234" w:rsidTr="002F625C">
        <w:trPr>
          <w:trHeight w:val="1536"/>
        </w:trPr>
        <w:tc>
          <w:tcPr>
            <w:tcW w:w="10348" w:type="dxa"/>
            <w:tcBorders>
              <w:top w:val="single" w:sz="24" w:space="0" w:color="FFFFFF"/>
              <w:left w:val="single" w:sz="8" w:space="0" w:color="FFFFFF"/>
              <w:bottom w:val="single" w:sz="8" w:space="0" w:color="FFFFFF"/>
              <w:right w:val="single" w:sz="8" w:space="0" w:color="FFFFFF"/>
            </w:tcBorders>
            <w:shd w:val="clear" w:color="auto" w:fill="9CC2E5"/>
            <w:tcMar>
              <w:top w:w="15" w:type="dxa"/>
              <w:left w:w="66" w:type="dxa"/>
              <w:bottom w:w="0" w:type="dxa"/>
              <w:right w:w="66" w:type="dxa"/>
            </w:tcMar>
            <w:hideMark/>
          </w:tcPr>
          <w:p w:rsidR="002F625C" w:rsidRPr="00A07234" w:rsidRDefault="002F625C" w:rsidP="005E0A03">
            <w:pPr>
              <w:spacing w:after="60" w:line="216" w:lineRule="auto"/>
              <w:textAlignment w:val="baseline"/>
              <w:rPr>
                <w:rFonts w:ascii="Arial" w:eastAsia="Times New Roman" w:hAnsi="Arial" w:cs="Arial"/>
                <w:sz w:val="28"/>
                <w:szCs w:val="28"/>
                <w:lang w:eastAsia="en-GB"/>
              </w:rPr>
            </w:pPr>
            <w:r w:rsidRPr="00A07234">
              <w:rPr>
                <w:rFonts w:eastAsia="Times New Roman" w:cs="Calibri"/>
                <w:b/>
                <w:bCs/>
                <w:kern w:val="24"/>
                <w:sz w:val="28"/>
                <w:szCs w:val="28"/>
                <w:lang w:eastAsia="en-GB"/>
              </w:rPr>
              <w:t xml:space="preserve">To clean the PAPR unit: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kern w:val="24"/>
                <w:sz w:val="28"/>
                <w:szCs w:val="28"/>
                <w:lang w:eastAsia="en-GB"/>
              </w:rPr>
              <w:t xml:space="preserve">Inspect the unit for dirt / debris. Clean the casing of the unit with disinfectant wipes. It is not necessary to remove the casing covering the filter. It is important not to allow water to drip into the filter unit. Set aside in a clean area to dry. </w:t>
            </w:r>
          </w:p>
        </w:tc>
      </w:tr>
      <w:tr w:rsidR="002F625C" w:rsidRPr="00A07234" w:rsidTr="002F625C">
        <w:trPr>
          <w:trHeight w:val="1916"/>
        </w:trPr>
        <w:tc>
          <w:tcPr>
            <w:tcW w:w="10348"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b/>
                <w:color w:val="000000"/>
                <w:kern w:val="24"/>
                <w:sz w:val="28"/>
                <w:szCs w:val="28"/>
                <w:lang w:eastAsia="en-GB"/>
              </w:rPr>
              <w:t xml:space="preserve">The hood: </w:t>
            </w:r>
          </w:p>
          <w:p w:rsidR="002F625C" w:rsidRPr="002F625C" w:rsidRDefault="002F625C" w:rsidP="002F625C">
            <w:pPr>
              <w:spacing w:after="240" w:line="216" w:lineRule="auto"/>
              <w:textAlignment w:val="baseline"/>
              <w:rPr>
                <w:rFonts w:eastAsia="Times New Roman"/>
                <w:color w:val="000000"/>
                <w:kern w:val="24"/>
                <w:sz w:val="28"/>
                <w:szCs w:val="28"/>
                <w:lang w:eastAsia="en-GB"/>
              </w:rPr>
            </w:pPr>
            <w:r w:rsidRPr="00A07234">
              <w:rPr>
                <w:rFonts w:eastAsia="Times New Roman"/>
                <w:color w:val="000000"/>
                <w:kern w:val="24"/>
                <w:sz w:val="28"/>
                <w:szCs w:val="28"/>
                <w:lang w:eastAsia="en-GB"/>
              </w:rPr>
              <w:t xml:space="preserve">Clean the external surfaces of the hood with a disinfectant wipes. With a fresh wipe you may want to give the inside of the hood a wipe also. Set aside in a clean area to dry. This hood belongs to a named HCW and must be returned to them, not shared with anyone else and be carefully stored once clean and dry, until next use. It is the responsibility of the named HCW to ensure this happens. </w:t>
            </w:r>
          </w:p>
        </w:tc>
      </w:tr>
      <w:tr w:rsidR="002F625C" w:rsidRPr="00A07234" w:rsidTr="002F625C">
        <w:trPr>
          <w:trHeight w:val="1556"/>
        </w:trPr>
        <w:tc>
          <w:tcPr>
            <w:tcW w:w="10348" w:type="dxa"/>
            <w:tcBorders>
              <w:top w:val="single" w:sz="8" w:space="0" w:color="FFFFFF"/>
              <w:left w:val="single" w:sz="8" w:space="0" w:color="FFFFFF"/>
              <w:bottom w:val="single" w:sz="24" w:space="0" w:color="FFFFFF"/>
              <w:right w:val="single" w:sz="8" w:space="0" w:color="FFFFFF"/>
            </w:tcBorders>
            <w:shd w:val="clear" w:color="auto" w:fill="9CC2E5"/>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 xml:space="preserve">The PAPR unit and hose: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Once dry, check if the battery needs to be charged – should be at full charge. If it does not need charged, the PAPR and hose will be place in the designated storage box labelled for that unit – Check PAPR unit Serial Numbers match.</w:t>
            </w:r>
          </w:p>
        </w:tc>
      </w:tr>
      <w:tr w:rsidR="002F625C" w:rsidRPr="00A07234" w:rsidTr="002F625C">
        <w:trPr>
          <w:trHeight w:val="1768"/>
        </w:trPr>
        <w:tc>
          <w:tcPr>
            <w:tcW w:w="10348"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Filter care:</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 xml:space="preserve">At point of putting on the PAPR unit, the HCW must check the expiry date for the filter, located on a record sheet in the PAPR’s storage box. If 30 calendar days have passed, the filter must be changed following manufacturer’s instructions. A disposable apron, gloves and FRSM must be worn when changing the filter  </w:t>
            </w:r>
          </w:p>
        </w:tc>
      </w:tr>
    </w:tbl>
    <w:p w:rsidR="00634A56" w:rsidRDefault="00634A56" w:rsidP="002F625C"/>
    <w:sectPr w:rsidR="00634A56" w:rsidSect="002F625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EE" w:rsidRDefault="00DE5CEE" w:rsidP="0044625A">
      <w:pPr>
        <w:spacing w:after="0" w:line="240" w:lineRule="auto"/>
      </w:pPr>
      <w:r>
        <w:separator/>
      </w:r>
    </w:p>
  </w:endnote>
  <w:endnote w:type="continuationSeparator" w:id="0">
    <w:p w:rsidR="00DE5CEE" w:rsidRDefault="00DE5CEE" w:rsidP="004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5C" w:rsidRPr="002F625C" w:rsidRDefault="002F625C">
    <w:pPr>
      <w:pStyle w:val="Footer"/>
      <w:rPr>
        <w:sz w:val="16"/>
      </w:rPr>
    </w:pPr>
    <w:r w:rsidRPr="002F625C">
      <w:rPr>
        <w:sz w:val="16"/>
      </w:rPr>
      <w:t xml:space="preserve">V1.1 (Updated Jan 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EE" w:rsidRDefault="00DE5CEE" w:rsidP="0044625A">
      <w:pPr>
        <w:spacing w:after="0" w:line="240" w:lineRule="auto"/>
      </w:pPr>
      <w:r>
        <w:separator/>
      </w:r>
    </w:p>
  </w:footnote>
  <w:footnote w:type="continuationSeparator" w:id="0">
    <w:p w:rsidR="00DE5CEE" w:rsidRDefault="00DE5CEE" w:rsidP="0044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C5" w:rsidRDefault="00BF08C5" w:rsidP="00BF08C5"/>
  <w:p w:rsidR="00BF08C5" w:rsidRPr="00C857B3" w:rsidRDefault="00BF08C5" w:rsidP="00BF08C5">
    <w:pPr>
      <w:pStyle w:val="Heading2"/>
      <w:spacing w:before="0" w:after="240" w:line="240" w:lineRule="auto"/>
      <w:rPr>
        <w:rFonts w:ascii="Arial" w:hAnsi="Arial" w:cs="Arial"/>
        <w:color w:val="244061"/>
        <w:sz w:val="32"/>
      </w:rPr>
    </w:pPr>
    <w:r>
      <w:rPr>
        <w:noProof/>
      </w:rPr>
      <w:drawing>
        <wp:anchor distT="0" distB="0" distL="114935" distR="114935" simplePos="0" relativeHeight="251659264" behindDoc="0" locked="1" layoutInCell="0" allowOverlap="1" wp14:anchorId="234DC847" wp14:editId="7A090D0D">
          <wp:simplePos x="0" y="0"/>
          <wp:positionH relativeFrom="margin">
            <wp:align>right</wp:align>
          </wp:positionH>
          <wp:positionV relativeFrom="margin">
            <wp:posOffset>-1123950</wp:posOffset>
          </wp:positionV>
          <wp:extent cx="781050" cy="561975"/>
          <wp:effectExtent l="0" t="0" r="0" b="9525"/>
          <wp:wrapSquare wrapText="bothSides"/>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Pr>
        <w:rFonts w:ascii="Arial" w:hAnsi="Arial" w:cs="Arial"/>
        <w:color w:val="244061"/>
        <w:sz w:val="32"/>
      </w:rPr>
      <w:t>Infection, Prevention &amp; Control</w:t>
    </w:r>
  </w:p>
  <w:p w:rsidR="00BF08C5" w:rsidRPr="00BF08C5" w:rsidRDefault="002F625C" w:rsidP="00BF08C5">
    <w:pPr>
      <w:pStyle w:val="Header"/>
      <w:rPr>
        <w:rFonts w:eastAsia="Times New Roman"/>
        <w:b/>
        <w:bCs/>
        <w:color w:val="3B3838"/>
        <w:kern w:val="24"/>
        <w:sz w:val="32"/>
        <w:szCs w:val="32"/>
        <w:lang w:eastAsia="en-GB"/>
      </w:rPr>
    </w:pPr>
    <w:r>
      <w:rPr>
        <w:rFonts w:eastAsia="Times New Roman"/>
        <w:noProof/>
        <w:color w:val="3B3838"/>
        <w:kern w:val="24"/>
        <w:sz w:val="28"/>
        <w:szCs w:val="32"/>
        <w:lang w:eastAsia="en-GB"/>
      </w:rPr>
      <mc:AlternateContent>
        <mc:Choice Requires="wps">
          <w:drawing>
            <wp:anchor distT="0" distB="0" distL="114300" distR="114300" simplePos="0" relativeHeight="251660288" behindDoc="0" locked="0" layoutInCell="1" allowOverlap="1" wp14:anchorId="4846B3F1" wp14:editId="5B720715">
              <wp:simplePos x="0" y="0"/>
              <wp:positionH relativeFrom="column">
                <wp:posOffset>-38100</wp:posOffset>
              </wp:positionH>
              <wp:positionV relativeFrom="paragraph">
                <wp:posOffset>307340</wp:posOffset>
              </wp:positionV>
              <wp:extent cx="6629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62940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1971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2pt" to="51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" strokecolor="#5b9bd5 [3204]" strokeweight="1.5pt">
              <v:stroke joinstyle="miter"/>
            </v:line>
          </w:pict>
        </mc:Fallback>
      </mc:AlternateContent>
    </w:r>
    <w:r>
      <w:rPr>
        <w:rFonts w:eastAsia="Times New Roman"/>
        <w:b/>
        <w:bCs/>
        <w:color w:val="3B3838"/>
        <w:kern w:val="24"/>
        <w:sz w:val="32"/>
        <w:szCs w:val="32"/>
        <w:lang w:eastAsia="en-GB"/>
      </w:rPr>
      <w:t xml:space="preserve">Cleaning &amp; </w:t>
    </w:r>
    <w:r w:rsidR="00BF08C5">
      <w:rPr>
        <w:rFonts w:eastAsia="Times New Roman"/>
        <w:b/>
        <w:bCs/>
        <w:color w:val="3B3838"/>
        <w:kern w:val="24"/>
        <w:sz w:val="32"/>
        <w:szCs w:val="32"/>
        <w:lang w:eastAsia="en-GB"/>
      </w:rPr>
      <w:t>Decontamination</w:t>
    </w:r>
    <w:r w:rsidR="00BF08C5" w:rsidRPr="00B34643">
      <w:rPr>
        <w:rFonts w:eastAsia="Times New Roman"/>
        <w:b/>
        <w:bCs/>
        <w:color w:val="3B3838"/>
        <w:kern w:val="24"/>
        <w:sz w:val="32"/>
        <w:szCs w:val="32"/>
        <w:lang w:eastAsia="en-GB"/>
      </w:rPr>
      <w:t xml:space="preserve"> of the </w:t>
    </w:r>
    <w:proofErr w:type="spellStart"/>
    <w:r>
      <w:rPr>
        <w:rFonts w:eastAsia="Times New Roman"/>
        <w:b/>
        <w:bCs/>
        <w:color w:val="3B3838"/>
        <w:kern w:val="24"/>
        <w:sz w:val="32"/>
        <w:szCs w:val="32"/>
        <w:lang w:eastAsia="en-GB"/>
      </w:rPr>
      <w:t>Drager</w:t>
    </w:r>
    <w:proofErr w:type="spellEnd"/>
    <w:r>
      <w:rPr>
        <w:rFonts w:eastAsia="Times New Roman"/>
        <w:b/>
        <w:bCs/>
        <w:color w:val="3B3838"/>
        <w:kern w:val="24"/>
        <w:sz w:val="32"/>
        <w:szCs w:val="32"/>
        <w:lang w:eastAsia="en-GB"/>
      </w:rPr>
      <w:t xml:space="preserve"> </w:t>
    </w:r>
    <w:r w:rsidR="00BF08C5" w:rsidRPr="00B34643">
      <w:rPr>
        <w:rFonts w:eastAsia="Times New Roman"/>
        <w:b/>
        <w:bCs/>
        <w:color w:val="3B3838"/>
        <w:kern w:val="24"/>
        <w:sz w:val="32"/>
        <w:szCs w:val="32"/>
        <w:lang w:eastAsia="en-GB"/>
      </w:rPr>
      <w:t>PAPR system and hood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E30"/>
    <w:multiLevelType w:val="hybridMultilevel"/>
    <w:tmpl w:val="D55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75EAD"/>
    <w:multiLevelType w:val="hybridMultilevel"/>
    <w:tmpl w:val="A622DD54"/>
    <w:lvl w:ilvl="0" w:tplc="838CFF8E">
      <w:start w:val="1"/>
      <w:numFmt w:val="bullet"/>
      <w:lvlText w:val=""/>
      <w:lvlJc w:val="left"/>
      <w:pPr>
        <w:tabs>
          <w:tab w:val="num" w:pos="720"/>
        </w:tabs>
        <w:ind w:left="720" w:hanging="360"/>
      </w:pPr>
      <w:rPr>
        <w:rFonts w:ascii="Symbol" w:hAnsi="Symbol" w:hint="default"/>
      </w:rPr>
    </w:lvl>
    <w:lvl w:ilvl="1" w:tplc="A77A94AA" w:tentative="1">
      <w:start w:val="1"/>
      <w:numFmt w:val="bullet"/>
      <w:lvlText w:val=""/>
      <w:lvlJc w:val="left"/>
      <w:pPr>
        <w:tabs>
          <w:tab w:val="num" w:pos="1440"/>
        </w:tabs>
        <w:ind w:left="1440" w:hanging="360"/>
      </w:pPr>
      <w:rPr>
        <w:rFonts w:ascii="Symbol" w:hAnsi="Symbol" w:hint="default"/>
      </w:rPr>
    </w:lvl>
    <w:lvl w:ilvl="2" w:tplc="D21E5F42" w:tentative="1">
      <w:start w:val="1"/>
      <w:numFmt w:val="bullet"/>
      <w:lvlText w:val=""/>
      <w:lvlJc w:val="left"/>
      <w:pPr>
        <w:tabs>
          <w:tab w:val="num" w:pos="2160"/>
        </w:tabs>
        <w:ind w:left="2160" w:hanging="360"/>
      </w:pPr>
      <w:rPr>
        <w:rFonts w:ascii="Symbol" w:hAnsi="Symbol" w:hint="default"/>
      </w:rPr>
    </w:lvl>
    <w:lvl w:ilvl="3" w:tplc="BEC0578C" w:tentative="1">
      <w:start w:val="1"/>
      <w:numFmt w:val="bullet"/>
      <w:lvlText w:val=""/>
      <w:lvlJc w:val="left"/>
      <w:pPr>
        <w:tabs>
          <w:tab w:val="num" w:pos="2880"/>
        </w:tabs>
        <w:ind w:left="2880" w:hanging="360"/>
      </w:pPr>
      <w:rPr>
        <w:rFonts w:ascii="Symbol" w:hAnsi="Symbol" w:hint="default"/>
      </w:rPr>
    </w:lvl>
    <w:lvl w:ilvl="4" w:tplc="F3DE235E" w:tentative="1">
      <w:start w:val="1"/>
      <w:numFmt w:val="bullet"/>
      <w:lvlText w:val=""/>
      <w:lvlJc w:val="left"/>
      <w:pPr>
        <w:tabs>
          <w:tab w:val="num" w:pos="3600"/>
        </w:tabs>
        <w:ind w:left="3600" w:hanging="360"/>
      </w:pPr>
      <w:rPr>
        <w:rFonts w:ascii="Symbol" w:hAnsi="Symbol" w:hint="default"/>
      </w:rPr>
    </w:lvl>
    <w:lvl w:ilvl="5" w:tplc="35B60388" w:tentative="1">
      <w:start w:val="1"/>
      <w:numFmt w:val="bullet"/>
      <w:lvlText w:val=""/>
      <w:lvlJc w:val="left"/>
      <w:pPr>
        <w:tabs>
          <w:tab w:val="num" w:pos="4320"/>
        </w:tabs>
        <w:ind w:left="4320" w:hanging="360"/>
      </w:pPr>
      <w:rPr>
        <w:rFonts w:ascii="Symbol" w:hAnsi="Symbol" w:hint="default"/>
      </w:rPr>
    </w:lvl>
    <w:lvl w:ilvl="6" w:tplc="B470CDEC" w:tentative="1">
      <w:start w:val="1"/>
      <w:numFmt w:val="bullet"/>
      <w:lvlText w:val=""/>
      <w:lvlJc w:val="left"/>
      <w:pPr>
        <w:tabs>
          <w:tab w:val="num" w:pos="5040"/>
        </w:tabs>
        <w:ind w:left="5040" w:hanging="360"/>
      </w:pPr>
      <w:rPr>
        <w:rFonts w:ascii="Symbol" w:hAnsi="Symbol" w:hint="default"/>
      </w:rPr>
    </w:lvl>
    <w:lvl w:ilvl="7" w:tplc="66C62816" w:tentative="1">
      <w:start w:val="1"/>
      <w:numFmt w:val="bullet"/>
      <w:lvlText w:val=""/>
      <w:lvlJc w:val="left"/>
      <w:pPr>
        <w:tabs>
          <w:tab w:val="num" w:pos="5760"/>
        </w:tabs>
        <w:ind w:left="5760" w:hanging="360"/>
      </w:pPr>
      <w:rPr>
        <w:rFonts w:ascii="Symbol" w:hAnsi="Symbol" w:hint="default"/>
      </w:rPr>
    </w:lvl>
    <w:lvl w:ilvl="8" w:tplc="5C1401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5A"/>
    <w:rsid w:val="0007512C"/>
    <w:rsid w:val="00136B43"/>
    <w:rsid w:val="002F625C"/>
    <w:rsid w:val="0044625A"/>
    <w:rsid w:val="004B7B1D"/>
    <w:rsid w:val="005E0A03"/>
    <w:rsid w:val="00625413"/>
    <w:rsid w:val="00634A56"/>
    <w:rsid w:val="006E6611"/>
    <w:rsid w:val="00A26C74"/>
    <w:rsid w:val="00A60EB9"/>
    <w:rsid w:val="00AC4474"/>
    <w:rsid w:val="00AF37B1"/>
    <w:rsid w:val="00AF52F2"/>
    <w:rsid w:val="00BF08C5"/>
    <w:rsid w:val="00DD33E9"/>
    <w:rsid w:val="00DE1853"/>
    <w:rsid w:val="00DE5CEE"/>
    <w:rsid w:val="00EE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690C078-8D00-4A89-B881-7A25433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qFormat/>
    <w:rsid w:val="00BF08C5"/>
    <w:pPr>
      <w:spacing w:before="90" w:after="45" w:line="360" w:lineRule="atLeast"/>
      <w:outlineLvl w:val="1"/>
    </w:pPr>
    <w:rPr>
      <w:rFonts w:ascii="Times New Roman" w:eastAsia="Times New Roman" w:hAnsi="Times New Roman"/>
      <w:b/>
      <w:bCs/>
      <w:color w:val="6699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5A"/>
    <w:pPr>
      <w:tabs>
        <w:tab w:val="center" w:pos="4513"/>
        <w:tab w:val="right" w:pos="9026"/>
      </w:tabs>
    </w:pPr>
  </w:style>
  <w:style w:type="character" w:customStyle="1" w:styleId="HeaderChar">
    <w:name w:val="Header Char"/>
    <w:link w:val="Header"/>
    <w:uiPriority w:val="99"/>
    <w:rsid w:val="0044625A"/>
    <w:rPr>
      <w:sz w:val="22"/>
      <w:szCs w:val="22"/>
      <w:lang w:eastAsia="en-US"/>
    </w:rPr>
  </w:style>
  <w:style w:type="paragraph" w:styleId="Footer">
    <w:name w:val="footer"/>
    <w:basedOn w:val="Normal"/>
    <w:link w:val="FooterChar"/>
    <w:uiPriority w:val="99"/>
    <w:unhideWhenUsed/>
    <w:rsid w:val="0044625A"/>
    <w:pPr>
      <w:tabs>
        <w:tab w:val="center" w:pos="4513"/>
        <w:tab w:val="right" w:pos="9026"/>
      </w:tabs>
    </w:pPr>
  </w:style>
  <w:style w:type="character" w:customStyle="1" w:styleId="FooterChar">
    <w:name w:val="Footer Char"/>
    <w:link w:val="Footer"/>
    <w:uiPriority w:val="99"/>
    <w:rsid w:val="0044625A"/>
    <w:rPr>
      <w:sz w:val="22"/>
      <w:szCs w:val="22"/>
      <w:lang w:eastAsia="en-US"/>
    </w:rPr>
  </w:style>
  <w:style w:type="paragraph" w:styleId="BalloonText">
    <w:name w:val="Balloon Text"/>
    <w:basedOn w:val="Normal"/>
    <w:link w:val="BalloonTextChar"/>
    <w:uiPriority w:val="99"/>
    <w:semiHidden/>
    <w:unhideWhenUsed/>
    <w:rsid w:val="00A6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9"/>
    <w:rPr>
      <w:rFonts w:ascii="Segoe UI" w:hAnsi="Segoe UI" w:cs="Segoe UI"/>
      <w:sz w:val="18"/>
      <w:szCs w:val="18"/>
      <w:lang w:eastAsia="en-US"/>
    </w:rPr>
  </w:style>
  <w:style w:type="character" w:customStyle="1" w:styleId="Heading2Char">
    <w:name w:val="Heading 2 Char"/>
    <w:basedOn w:val="DefaultParagraphFont"/>
    <w:link w:val="Heading2"/>
    <w:rsid w:val="00BF08C5"/>
    <w:rPr>
      <w:rFonts w:ascii="Times New Roman" w:eastAsia="Times New Roman" w:hAnsi="Times New Roman"/>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7B1B-4E83-4F4E-9FC9-D02F5F8C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JOANNPA534</dc:creator>
  <cp:keywords/>
  <dc:description/>
  <cp:lastModifiedBy>Clark, Andrew</cp:lastModifiedBy>
  <cp:revision>2</cp:revision>
  <cp:lastPrinted>2020-11-06T12:15:00Z</cp:lastPrinted>
  <dcterms:created xsi:type="dcterms:W3CDTF">2022-07-18T13:03:00Z</dcterms:created>
  <dcterms:modified xsi:type="dcterms:W3CDTF">2022-07-18T13:03:00Z</dcterms:modified>
</cp:coreProperties>
</file>